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0EAF7E">
      <w:pPr>
        <w:widowControl/>
        <w:spacing w:line="400" w:lineRule="exact"/>
        <w:jc w:val="center"/>
        <w:rPr>
          <w:rFonts w:ascii="宋体" w:hAnsi="宋体" w:cs="宋体"/>
          <w:b/>
          <w:bCs/>
          <w:color w:val="000000"/>
          <w:sz w:val="32"/>
          <w:szCs w:val="32"/>
        </w:rPr>
      </w:pPr>
      <w:bookmarkStart w:id="0" w:name="_GoBack"/>
      <w:bookmarkEnd w:id="0"/>
      <w:r>
        <w:rPr>
          <w:rFonts w:hint="eastAsia" w:ascii="宋体" w:hAnsi="宋体" w:cs="宋体"/>
          <w:b/>
          <w:bCs/>
          <w:color w:val="000000"/>
          <w:sz w:val="32"/>
          <w:szCs w:val="32"/>
        </w:rPr>
        <w:t>等离子体空气消毒机技术参数</w:t>
      </w:r>
    </w:p>
    <w:tbl>
      <w:tblPr>
        <w:tblStyle w:val="3"/>
        <w:tblpPr w:leftFromText="180" w:rightFromText="180" w:vertAnchor="text" w:horzAnchor="page" w:tblpXSpec="center" w:tblpY="242"/>
        <w:tblOverlap w:val="never"/>
        <w:tblW w:w="9873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73"/>
      </w:tblGrid>
      <w:tr w14:paraId="4D70A4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  <w:jc w:val="center"/>
        </w:trPr>
        <w:tc>
          <w:tcPr>
            <w:tcW w:w="9873" w:type="dxa"/>
            <w:noWrap/>
          </w:tcPr>
          <w:p w14:paraId="30AB74B8">
            <w:pPr>
              <w:pStyle w:val="2"/>
              <w:spacing w:before="0" w:after="0" w:line="360" w:lineRule="exact"/>
              <w:jc w:val="left"/>
              <w:rPr>
                <w:rFonts w:hAnsi="宋体"/>
                <w:b w:val="0"/>
                <w:bCs w:val="0"/>
                <w:kern w:val="2"/>
                <w:sz w:val="21"/>
                <w:szCs w:val="21"/>
              </w:rPr>
            </w:pPr>
            <w:r>
              <w:rPr>
                <w:rFonts w:hint="eastAsia" w:hAnsi="宋体"/>
                <w:b w:val="0"/>
                <w:bCs w:val="0"/>
                <w:kern w:val="2"/>
                <w:sz w:val="21"/>
                <w:szCs w:val="21"/>
              </w:rPr>
              <w:t>1、消杀主要采用等离子体技术，壁挂式，安装于墙面上；</w:t>
            </w:r>
          </w:p>
          <w:p w14:paraId="3A3022CF">
            <w:pPr>
              <w:pStyle w:val="2"/>
              <w:spacing w:before="0" w:after="0" w:line="360" w:lineRule="exact"/>
              <w:jc w:val="left"/>
              <w:rPr>
                <w:rFonts w:hAnsi="宋体"/>
                <w:b w:val="0"/>
                <w:bCs w:val="0"/>
                <w:kern w:val="2"/>
                <w:sz w:val="21"/>
                <w:szCs w:val="21"/>
              </w:rPr>
            </w:pPr>
            <w:r>
              <w:rPr>
                <w:rFonts w:hAnsi="宋体"/>
                <w:b w:val="0"/>
                <w:bCs w:val="0"/>
                <w:kern w:val="2"/>
                <w:sz w:val="21"/>
                <w:szCs w:val="21"/>
              </w:rPr>
              <w:t>2、额定功率≤60W</w:t>
            </w:r>
            <w:r>
              <w:rPr>
                <w:rFonts w:hint="eastAsia" w:hAnsi="宋体"/>
                <w:b w:val="0"/>
                <w:bCs w:val="0"/>
                <w:kern w:val="2"/>
                <w:sz w:val="21"/>
                <w:szCs w:val="21"/>
              </w:rPr>
              <w:t>，适用空间≥1</w:t>
            </w:r>
            <w:r>
              <w:rPr>
                <w:rFonts w:hAnsi="宋体"/>
                <w:b w:val="0"/>
                <w:bCs w:val="0"/>
                <w:kern w:val="2"/>
                <w:sz w:val="21"/>
                <w:szCs w:val="21"/>
              </w:rPr>
              <w:t>00</w:t>
            </w:r>
            <w:r>
              <w:rPr>
                <w:rFonts w:hint="eastAsia" w:hAnsi="宋体"/>
                <w:b w:val="0"/>
                <w:bCs w:val="0"/>
                <w:kern w:val="2"/>
                <w:sz w:val="21"/>
                <w:szCs w:val="21"/>
              </w:rPr>
              <w:t>m</w:t>
            </w:r>
            <w:r>
              <w:rPr>
                <w:rFonts w:hAnsi="宋体"/>
                <w:b w:val="0"/>
                <w:bCs w:val="0"/>
                <w:kern w:val="2"/>
                <w:sz w:val="21"/>
                <w:szCs w:val="21"/>
                <w:vertAlign w:val="superscript"/>
              </w:rPr>
              <w:t>3</w:t>
            </w:r>
            <w:r>
              <w:rPr>
                <w:rFonts w:hint="eastAsia" w:hAnsi="宋体"/>
                <w:b w:val="0"/>
                <w:bCs w:val="0"/>
                <w:kern w:val="2"/>
                <w:sz w:val="21"/>
                <w:szCs w:val="21"/>
              </w:rPr>
              <w:t>；</w:t>
            </w:r>
          </w:p>
          <w:p w14:paraId="63B43D15">
            <w:pPr>
              <w:pStyle w:val="2"/>
              <w:spacing w:before="0" w:after="0" w:line="360" w:lineRule="exact"/>
              <w:jc w:val="left"/>
              <w:rPr>
                <w:rFonts w:hAnsi="宋体"/>
                <w:b w:val="0"/>
                <w:bCs w:val="0"/>
                <w:kern w:val="2"/>
                <w:sz w:val="21"/>
                <w:szCs w:val="21"/>
              </w:rPr>
            </w:pPr>
            <w:r>
              <w:rPr>
                <w:rFonts w:hint="eastAsia" w:hAnsi="宋体"/>
                <w:b w:val="0"/>
                <w:bCs w:val="0"/>
                <w:kern w:val="2"/>
                <w:sz w:val="21"/>
                <w:szCs w:val="21"/>
              </w:rPr>
              <w:t>3、噪音≤</w:t>
            </w:r>
            <w:r>
              <w:rPr>
                <w:rFonts w:hAnsi="宋体"/>
                <w:b w:val="0"/>
                <w:bCs w:val="0"/>
                <w:kern w:val="2"/>
                <w:sz w:val="21"/>
                <w:szCs w:val="21"/>
              </w:rPr>
              <w:t>19.5</w:t>
            </w:r>
            <w:r>
              <w:rPr>
                <w:rFonts w:hint="eastAsia" w:hAnsi="宋体"/>
                <w:b w:val="0"/>
                <w:bCs w:val="0"/>
                <w:kern w:val="2"/>
                <w:sz w:val="21"/>
                <w:szCs w:val="21"/>
              </w:rPr>
              <w:t>dB；</w:t>
            </w:r>
          </w:p>
          <w:p w14:paraId="14983F53">
            <w:pPr>
              <w:pStyle w:val="2"/>
              <w:spacing w:before="0" w:after="0" w:line="360" w:lineRule="exact"/>
              <w:jc w:val="left"/>
              <w:rPr>
                <w:rFonts w:hAnsi="宋体"/>
                <w:b w:val="0"/>
                <w:bCs w:val="0"/>
                <w:kern w:val="2"/>
                <w:sz w:val="21"/>
                <w:szCs w:val="21"/>
              </w:rPr>
            </w:pPr>
            <w:r>
              <w:rPr>
                <w:rFonts w:hAnsi="宋体"/>
                <w:sz w:val="21"/>
                <w:szCs w:val="21"/>
              </w:rPr>
              <w:t>*</w:t>
            </w:r>
            <w:r>
              <w:rPr>
                <w:rFonts w:hAnsi="宋体"/>
                <w:b w:val="0"/>
                <w:bCs w:val="0"/>
                <w:kern w:val="2"/>
                <w:sz w:val="21"/>
                <w:szCs w:val="21"/>
              </w:rPr>
              <w:t>4、</w:t>
            </w:r>
            <w:r>
              <w:rPr>
                <w:rFonts w:hint="eastAsia" w:hAnsi="宋体"/>
                <w:b w:val="0"/>
                <w:bCs w:val="0"/>
                <w:kern w:val="2"/>
                <w:sz w:val="21"/>
                <w:szCs w:val="21"/>
              </w:rPr>
              <w:t>等离子体</w:t>
            </w:r>
            <w:r>
              <w:rPr>
                <w:rFonts w:hAnsi="宋体"/>
                <w:b w:val="0"/>
                <w:bCs w:val="0"/>
                <w:kern w:val="2"/>
                <w:sz w:val="21"/>
                <w:szCs w:val="21"/>
              </w:rPr>
              <w:t>电子密度5.20</w:t>
            </w:r>
            <w:r>
              <w:rPr>
                <w:rFonts w:hint="eastAsia" w:hAnsi="宋体"/>
                <w:b w:val="0"/>
                <w:bCs w:val="0"/>
                <w:kern w:val="2"/>
                <w:sz w:val="21"/>
                <w:szCs w:val="21"/>
              </w:rPr>
              <w:t>×</w:t>
            </w:r>
            <w:r>
              <w:rPr>
                <w:rFonts w:hAnsi="宋体"/>
                <w:b w:val="0"/>
                <w:bCs w:val="0"/>
                <w:kern w:val="2"/>
                <w:sz w:val="21"/>
                <w:szCs w:val="21"/>
              </w:rPr>
              <w:t>10</w:t>
            </w:r>
            <w:r>
              <w:rPr>
                <w:rFonts w:hAnsi="宋体"/>
                <w:b w:val="0"/>
                <w:bCs w:val="0"/>
                <w:kern w:val="2"/>
                <w:sz w:val="21"/>
                <w:szCs w:val="21"/>
                <w:vertAlign w:val="superscript"/>
              </w:rPr>
              <w:t>19</w:t>
            </w:r>
            <w:r>
              <w:rPr>
                <w:rFonts w:hint="eastAsia" w:hAnsi="宋体"/>
                <w:b w:val="0"/>
                <w:bCs w:val="0"/>
                <w:kern w:val="2"/>
                <w:sz w:val="21"/>
                <w:szCs w:val="21"/>
              </w:rPr>
              <w:t>-</w:t>
            </w:r>
            <w:r>
              <w:rPr>
                <w:rFonts w:hAnsi="宋体"/>
                <w:b w:val="0"/>
                <w:bCs w:val="0"/>
                <w:kern w:val="2"/>
                <w:sz w:val="21"/>
                <w:szCs w:val="21"/>
              </w:rPr>
              <w:t>1.35</w:t>
            </w:r>
            <w:r>
              <w:rPr>
                <w:rFonts w:hint="eastAsia" w:hAnsi="宋体"/>
                <w:b w:val="0"/>
                <w:bCs w:val="0"/>
                <w:kern w:val="2"/>
                <w:sz w:val="21"/>
                <w:szCs w:val="21"/>
              </w:rPr>
              <w:t>×</w:t>
            </w:r>
            <w:r>
              <w:rPr>
                <w:rFonts w:hAnsi="宋体"/>
                <w:b w:val="0"/>
                <w:bCs w:val="0"/>
                <w:kern w:val="2"/>
                <w:sz w:val="21"/>
                <w:szCs w:val="21"/>
              </w:rPr>
              <w:t>10</w:t>
            </w:r>
            <w:r>
              <w:rPr>
                <w:rFonts w:hAnsi="宋体"/>
                <w:b w:val="0"/>
                <w:bCs w:val="0"/>
                <w:kern w:val="2"/>
                <w:sz w:val="21"/>
                <w:szCs w:val="21"/>
                <w:vertAlign w:val="superscript"/>
              </w:rPr>
              <w:t>20</w:t>
            </w:r>
            <w:r>
              <w:rPr>
                <w:rFonts w:hAnsi="宋体"/>
                <w:b w:val="0"/>
                <w:bCs w:val="0"/>
                <w:kern w:val="2"/>
                <w:sz w:val="21"/>
                <w:szCs w:val="21"/>
              </w:rPr>
              <w:t>m</w:t>
            </w:r>
            <w:r>
              <w:rPr>
                <w:rFonts w:hAnsi="宋体"/>
                <w:b w:val="0"/>
                <w:bCs w:val="0"/>
                <w:kern w:val="2"/>
                <w:sz w:val="21"/>
                <w:szCs w:val="21"/>
                <w:vertAlign w:val="superscript"/>
              </w:rPr>
              <w:t>-3</w:t>
            </w:r>
            <w:r>
              <w:rPr>
                <w:rFonts w:hint="eastAsia" w:hAnsi="宋体"/>
                <w:b w:val="0"/>
                <w:bCs w:val="0"/>
                <w:kern w:val="2"/>
                <w:sz w:val="21"/>
                <w:szCs w:val="21"/>
              </w:rPr>
              <w:t>；（提供第三方检测证明文件）</w:t>
            </w:r>
          </w:p>
          <w:p w14:paraId="2FC20DD3">
            <w:pPr>
              <w:pStyle w:val="2"/>
              <w:spacing w:before="0" w:after="0" w:line="360" w:lineRule="exact"/>
              <w:jc w:val="left"/>
              <w:rPr>
                <w:rFonts w:hAnsi="宋体"/>
                <w:b w:val="0"/>
                <w:bCs w:val="0"/>
                <w:kern w:val="2"/>
                <w:sz w:val="21"/>
                <w:szCs w:val="21"/>
              </w:rPr>
            </w:pPr>
            <w:r>
              <w:rPr>
                <w:rFonts w:hAnsi="宋体"/>
                <w:sz w:val="21"/>
                <w:szCs w:val="21"/>
              </w:rPr>
              <w:t>*</w:t>
            </w:r>
            <w:r>
              <w:rPr>
                <w:rFonts w:hAnsi="宋体"/>
                <w:b w:val="0"/>
                <w:bCs w:val="0"/>
                <w:kern w:val="2"/>
                <w:sz w:val="21"/>
                <w:szCs w:val="21"/>
              </w:rPr>
              <w:t>5、等离子体电子能量</w:t>
            </w:r>
            <w:r>
              <w:rPr>
                <w:rFonts w:hint="eastAsia" w:hAnsi="宋体"/>
                <w:b w:val="0"/>
                <w:bCs w:val="0"/>
                <w:kern w:val="2"/>
                <w:sz w:val="21"/>
                <w:szCs w:val="21"/>
              </w:rPr>
              <w:t>≥</w:t>
            </w:r>
            <w:r>
              <w:rPr>
                <w:rFonts w:hAnsi="宋体"/>
                <w:b w:val="0"/>
                <w:bCs w:val="0"/>
                <w:kern w:val="2"/>
                <w:sz w:val="21"/>
                <w:szCs w:val="21"/>
              </w:rPr>
              <w:t>1.25</w:t>
            </w:r>
            <w:r>
              <w:rPr>
                <w:rFonts w:hint="eastAsia" w:hAnsi="宋体"/>
                <w:b w:val="0"/>
                <w:bCs w:val="0"/>
                <w:kern w:val="2"/>
                <w:sz w:val="21"/>
                <w:szCs w:val="21"/>
              </w:rPr>
              <w:t>电子伏特；（提供第三方检测证明文件）</w:t>
            </w:r>
          </w:p>
          <w:p w14:paraId="429913BF">
            <w:pPr>
              <w:pStyle w:val="2"/>
              <w:spacing w:before="0" w:after="0" w:line="360" w:lineRule="exact"/>
              <w:jc w:val="left"/>
              <w:rPr>
                <w:rFonts w:hAnsi="宋体"/>
                <w:b w:val="0"/>
                <w:bCs w:val="0"/>
                <w:kern w:val="2"/>
                <w:sz w:val="21"/>
                <w:szCs w:val="21"/>
              </w:rPr>
            </w:pPr>
            <w:r>
              <w:rPr>
                <w:rFonts w:hAnsi="宋体"/>
                <w:b w:val="0"/>
                <w:bCs w:val="0"/>
                <w:kern w:val="2"/>
                <w:sz w:val="21"/>
                <w:szCs w:val="21"/>
              </w:rPr>
              <w:t>6、</w:t>
            </w:r>
            <w:r>
              <w:rPr>
                <w:rFonts w:hint="eastAsia" w:hAnsi="宋体"/>
                <w:b w:val="0"/>
                <w:bCs w:val="0"/>
                <w:kern w:val="2"/>
                <w:sz w:val="21"/>
                <w:szCs w:val="21"/>
              </w:rPr>
              <w:t>甲型流感病毒</w:t>
            </w:r>
            <w:r>
              <w:rPr>
                <w:rFonts w:hAnsi="宋体"/>
                <w:b w:val="0"/>
                <w:bCs w:val="0"/>
                <w:kern w:val="2"/>
                <w:sz w:val="21"/>
                <w:szCs w:val="21"/>
              </w:rPr>
              <w:t>H3N2</w:t>
            </w:r>
            <w:r>
              <w:rPr>
                <w:rFonts w:hint="eastAsia" w:hAnsi="宋体"/>
                <w:b w:val="0"/>
                <w:bCs w:val="0"/>
                <w:kern w:val="2"/>
                <w:sz w:val="21"/>
                <w:szCs w:val="21"/>
              </w:rPr>
              <w:t>去除率≥</w:t>
            </w:r>
            <w:r>
              <w:rPr>
                <w:rFonts w:hAnsi="宋体"/>
                <w:b w:val="0"/>
                <w:bCs w:val="0"/>
                <w:kern w:val="2"/>
                <w:sz w:val="21"/>
                <w:szCs w:val="21"/>
              </w:rPr>
              <w:t>99.9%</w:t>
            </w:r>
            <w:r>
              <w:rPr>
                <w:rFonts w:hint="eastAsia" w:hAnsi="宋体"/>
                <w:b w:val="0"/>
                <w:bCs w:val="0"/>
                <w:kern w:val="2"/>
                <w:sz w:val="21"/>
                <w:szCs w:val="21"/>
              </w:rPr>
              <w:t>，</w:t>
            </w:r>
            <w:r>
              <w:rPr>
                <w:rFonts w:hAnsi="宋体"/>
                <w:b w:val="0"/>
                <w:bCs w:val="0"/>
                <w:kern w:val="2"/>
                <w:sz w:val="21"/>
                <w:szCs w:val="21"/>
              </w:rPr>
              <w:t>肠道病毒71型EV71</w:t>
            </w:r>
            <w:r>
              <w:rPr>
                <w:rFonts w:hint="eastAsia" w:hAnsi="宋体"/>
                <w:b w:val="0"/>
                <w:bCs w:val="0"/>
                <w:kern w:val="2"/>
                <w:sz w:val="21"/>
                <w:szCs w:val="21"/>
              </w:rPr>
              <w:t>去除率≥</w:t>
            </w:r>
            <w:r>
              <w:rPr>
                <w:rFonts w:hAnsi="宋体"/>
                <w:b w:val="0"/>
                <w:bCs w:val="0"/>
                <w:kern w:val="2"/>
                <w:sz w:val="21"/>
                <w:szCs w:val="21"/>
              </w:rPr>
              <w:t>99.9%</w:t>
            </w:r>
            <w:r>
              <w:rPr>
                <w:rFonts w:hint="eastAsia" w:hAnsi="宋体"/>
                <w:b w:val="0"/>
                <w:bCs w:val="0"/>
                <w:kern w:val="2"/>
                <w:sz w:val="21"/>
                <w:szCs w:val="21"/>
              </w:rPr>
              <w:t>；</w:t>
            </w:r>
          </w:p>
          <w:p w14:paraId="1C77F446">
            <w:pPr>
              <w:pStyle w:val="2"/>
              <w:spacing w:before="0" w:after="0" w:line="360" w:lineRule="exact"/>
              <w:jc w:val="left"/>
              <w:rPr>
                <w:rFonts w:hAnsi="宋体"/>
                <w:b w:val="0"/>
                <w:bCs w:val="0"/>
                <w:kern w:val="2"/>
                <w:sz w:val="21"/>
                <w:szCs w:val="21"/>
              </w:rPr>
            </w:pPr>
            <w:r>
              <w:rPr>
                <w:rFonts w:hAnsi="宋体"/>
                <w:b w:val="0"/>
                <w:bCs w:val="0"/>
                <w:kern w:val="2"/>
                <w:sz w:val="21"/>
                <w:szCs w:val="21"/>
              </w:rPr>
              <w:t>7、大肠杆菌噬菌体</w:t>
            </w:r>
            <w:r>
              <w:rPr>
                <w:rFonts w:hint="eastAsia" w:hAnsi="宋体"/>
                <w:b w:val="0"/>
                <w:bCs w:val="0"/>
                <w:kern w:val="2"/>
                <w:sz w:val="21"/>
                <w:szCs w:val="21"/>
              </w:rPr>
              <w:t>病毒去除率＞</w:t>
            </w:r>
            <w:r>
              <w:rPr>
                <w:rFonts w:hAnsi="宋体"/>
                <w:b w:val="0"/>
                <w:bCs w:val="0"/>
                <w:kern w:val="2"/>
                <w:sz w:val="21"/>
                <w:szCs w:val="21"/>
              </w:rPr>
              <w:t>99.00%</w:t>
            </w:r>
            <w:r>
              <w:rPr>
                <w:rFonts w:hint="eastAsia" w:hAnsi="宋体"/>
                <w:b w:val="0"/>
                <w:bCs w:val="0"/>
                <w:kern w:val="2"/>
                <w:sz w:val="21"/>
                <w:szCs w:val="21"/>
              </w:rPr>
              <w:t>；</w:t>
            </w:r>
          </w:p>
          <w:p w14:paraId="5AD0EA64">
            <w:pPr>
              <w:pStyle w:val="2"/>
              <w:spacing w:before="0" w:after="0" w:line="360" w:lineRule="exact"/>
              <w:jc w:val="left"/>
              <w:rPr>
                <w:rFonts w:hAnsi="宋体"/>
                <w:b w:val="0"/>
                <w:bCs w:val="0"/>
                <w:kern w:val="2"/>
                <w:sz w:val="21"/>
                <w:szCs w:val="21"/>
              </w:rPr>
            </w:pPr>
            <w:r>
              <w:rPr>
                <w:rFonts w:hAnsi="宋体"/>
                <w:b w:val="0"/>
                <w:bCs w:val="0"/>
                <w:kern w:val="2"/>
                <w:sz w:val="21"/>
                <w:szCs w:val="21"/>
              </w:rPr>
              <w:t>8</w:t>
            </w:r>
            <w:r>
              <w:rPr>
                <w:rFonts w:hint="eastAsia" w:hAnsi="宋体"/>
                <w:b w:val="0"/>
                <w:bCs w:val="0"/>
                <w:kern w:val="2"/>
                <w:sz w:val="21"/>
                <w:szCs w:val="21"/>
              </w:rPr>
              <w:t>、二甲苯净化效率≥</w:t>
            </w:r>
            <w:r>
              <w:rPr>
                <w:rFonts w:hAnsi="宋体"/>
                <w:b w:val="0"/>
                <w:bCs w:val="0"/>
                <w:kern w:val="2"/>
                <w:sz w:val="21"/>
                <w:szCs w:val="21"/>
              </w:rPr>
              <w:t>95.4</w:t>
            </w:r>
            <w:r>
              <w:rPr>
                <w:rFonts w:hint="eastAsia" w:hAnsi="宋体"/>
                <w:b w:val="0"/>
                <w:bCs w:val="0"/>
                <w:kern w:val="2"/>
                <w:sz w:val="21"/>
                <w:szCs w:val="21"/>
              </w:rPr>
              <w:t>%；</w:t>
            </w:r>
          </w:p>
          <w:p w14:paraId="4672F81A">
            <w:pPr>
              <w:pStyle w:val="2"/>
              <w:spacing w:before="0" w:after="0" w:line="360" w:lineRule="exact"/>
              <w:jc w:val="left"/>
              <w:rPr>
                <w:rFonts w:hAnsi="宋体"/>
                <w:b w:val="0"/>
                <w:sz w:val="21"/>
                <w:szCs w:val="21"/>
              </w:rPr>
            </w:pPr>
            <w:r>
              <w:rPr>
                <w:rFonts w:hAnsi="宋体"/>
                <w:b w:val="0"/>
                <w:sz w:val="21"/>
                <w:szCs w:val="21"/>
                <w:highlight w:val="yellow"/>
              </w:rPr>
              <w:t>9</w:t>
            </w:r>
            <w:r>
              <w:rPr>
                <w:rFonts w:hint="eastAsia" w:hAnsi="宋体"/>
                <w:b w:val="0"/>
                <w:sz w:val="21"/>
                <w:szCs w:val="21"/>
                <w:highlight w:val="yellow"/>
              </w:rPr>
              <w:t>、具有工作累计计时功能，5位数显示；</w:t>
            </w:r>
          </w:p>
          <w:p w14:paraId="6AA0FF7C">
            <w:r>
              <w:rPr>
                <w:rFonts w:ascii="宋体" w:hAnsi="宋体"/>
                <w:b/>
                <w:szCs w:val="21"/>
              </w:rPr>
              <w:t>*</w:t>
            </w:r>
            <w:r>
              <w:rPr>
                <w:rFonts w:hint="eastAsia"/>
              </w:rPr>
              <w:t>10、具备温度、湿度检测并显示；</w:t>
            </w:r>
          </w:p>
          <w:p w14:paraId="3E3F488E">
            <w:pPr>
              <w:pStyle w:val="2"/>
              <w:spacing w:before="0" w:after="0" w:line="360" w:lineRule="exact"/>
              <w:jc w:val="left"/>
              <w:rPr>
                <w:rFonts w:hAnsi="宋体"/>
                <w:b w:val="0"/>
                <w:bCs w:val="0"/>
                <w:kern w:val="2"/>
                <w:sz w:val="21"/>
                <w:szCs w:val="21"/>
              </w:rPr>
            </w:pPr>
            <w:r>
              <w:rPr>
                <w:rFonts w:hAnsi="宋体"/>
                <w:b w:val="0"/>
                <w:bCs w:val="0"/>
                <w:kern w:val="2"/>
                <w:sz w:val="21"/>
                <w:szCs w:val="21"/>
              </w:rPr>
              <w:t>11</w:t>
            </w:r>
            <w:r>
              <w:rPr>
                <w:rFonts w:hint="eastAsia" w:hAnsi="宋体"/>
                <w:b w:val="0"/>
                <w:bCs w:val="0"/>
                <w:kern w:val="2"/>
                <w:sz w:val="21"/>
                <w:szCs w:val="21"/>
              </w:rPr>
              <w:t>、</w:t>
            </w:r>
            <w:r>
              <w:rPr>
                <w:rFonts w:hint="eastAsia" w:hAnsi="宋体"/>
                <w:b w:val="0"/>
                <w:sz w:val="21"/>
                <w:szCs w:val="21"/>
              </w:rPr>
              <w:t>臭氧浓度≤0.001mg/m</w:t>
            </w:r>
            <w:r>
              <w:rPr>
                <w:rFonts w:hint="eastAsia" w:hAnsi="宋体"/>
                <w:b w:val="0"/>
                <w:sz w:val="21"/>
                <w:szCs w:val="21"/>
                <w:vertAlign w:val="superscript"/>
              </w:rPr>
              <w:t>3</w:t>
            </w:r>
            <w:r>
              <w:rPr>
                <w:rFonts w:hint="eastAsia" w:hAnsi="宋体"/>
                <w:b w:val="0"/>
                <w:sz w:val="21"/>
                <w:szCs w:val="21"/>
              </w:rPr>
              <w:t>；</w:t>
            </w:r>
            <w:r>
              <w:rPr>
                <w:rFonts w:hint="eastAsia" w:hAnsi="宋体"/>
                <w:b w:val="0"/>
                <w:bCs w:val="0"/>
                <w:kern w:val="2"/>
                <w:sz w:val="21"/>
                <w:szCs w:val="21"/>
              </w:rPr>
              <w:t>（提供第三方检测证明文件）</w:t>
            </w:r>
          </w:p>
          <w:p w14:paraId="61242F11">
            <w:pPr>
              <w:pStyle w:val="2"/>
              <w:spacing w:before="0" w:after="0" w:line="360" w:lineRule="exact"/>
              <w:jc w:val="left"/>
              <w:rPr>
                <w:rFonts w:hAnsi="宋体"/>
                <w:b w:val="0"/>
                <w:bCs w:val="0"/>
                <w:kern w:val="2"/>
                <w:sz w:val="21"/>
                <w:szCs w:val="21"/>
              </w:rPr>
            </w:pPr>
            <w:r>
              <w:rPr>
                <w:rFonts w:hAnsi="宋体"/>
                <w:b w:val="0"/>
                <w:bCs w:val="0"/>
                <w:kern w:val="2"/>
                <w:sz w:val="21"/>
                <w:szCs w:val="21"/>
              </w:rPr>
              <w:t>12</w:t>
            </w:r>
            <w:r>
              <w:rPr>
                <w:rFonts w:hint="eastAsia" w:hAnsi="宋体"/>
                <w:b w:val="0"/>
                <w:bCs w:val="0"/>
                <w:kern w:val="2"/>
                <w:sz w:val="21"/>
                <w:szCs w:val="21"/>
              </w:rPr>
              <w:t>、产品寿命≥35000H；</w:t>
            </w:r>
          </w:p>
          <w:p w14:paraId="0EAE8B2D">
            <w:pPr>
              <w:pStyle w:val="2"/>
              <w:spacing w:before="0" w:after="0" w:line="360" w:lineRule="exact"/>
              <w:jc w:val="left"/>
              <w:rPr>
                <w:rFonts w:hAnsi="宋体"/>
                <w:b w:val="0"/>
                <w:bCs w:val="0"/>
                <w:kern w:val="2"/>
                <w:sz w:val="21"/>
                <w:szCs w:val="21"/>
              </w:rPr>
            </w:pPr>
            <w:r>
              <w:rPr>
                <w:rFonts w:hAnsi="宋体"/>
                <w:b w:val="0"/>
                <w:bCs w:val="0"/>
                <w:kern w:val="2"/>
                <w:sz w:val="21"/>
                <w:szCs w:val="21"/>
              </w:rPr>
              <w:t>13</w:t>
            </w:r>
            <w:r>
              <w:rPr>
                <w:rFonts w:hint="eastAsia" w:hAnsi="宋体"/>
                <w:b w:val="0"/>
                <w:bCs w:val="0"/>
                <w:kern w:val="2"/>
                <w:sz w:val="21"/>
                <w:szCs w:val="21"/>
              </w:rPr>
              <w:t>、洁净空气量为</w:t>
            </w:r>
            <w:r>
              <w:rPr>
                <w:rFonts w:hAnsi="宋体"/>
                <w:b w:val="0"/>
                <w:bCs w:val="0"/>
                <w:kern w:val="2"/>
                <w:sz w:val="21"/>
                <w:szCs w:val="21"/>
              </w:rPr>
              <w:t>765</w:t>
            </w:r>
            <w:r>
              <w:rPr>
                <w:rFonts w:hint="eastAsia" w:hAnsi="宋体"/>
                <w:b w:val="0"/>
                <w:bCs w:val="0"/>
                <w:kern w:val="2"/>
                <w:sz w:val="21"/>
                <w:szCs w:val="21"/>
              </w:rPr>
              <w:t>m</w:t>
            </w:r>
            <w:r>
              <w:rPr>
                <w:rFonts w:hint="eastAsia" w:hAnsi="宋体"/>
                <w:b w:val="0"/>
                <w:bCs w:val="0"/>
                <w:kern w:val="2"/>
                <w:sz w:val="21"/>
                <w:szCs w:val="21"/>
                <w:vertAlign w:val="superscript"/>
              </w:rPr>
              <w:t xml:space="preserve">3 </w:t>
            </w:r>
            <w:r>
              <w:rPr>
                <w:rFonts w:hAnsi="宋体"/>
                <w:b w:val="0"/>
                <w:bCs w:val="0"/>
                <w:kern w:val="2"/>
                <w:sz w:val="21"/>
                <w:szCs w:val="21"/>
              </w:rPr>
              <w:t>/</w:t>
            </w:r>
            <w:r>
              <w:rPr>
                <w:rFonts w:hint="eastAsia" w:hAnsi="宋体"/>
                <w:b w:val="0"/>
                <w:bCs w:val="0"/>
                <w:kern w:val="2"/>
                <w:sz w:val="21"/>
                <w:szCs w:val="21"/>
              </w:rPr>
              <w:t>h；</w:t>
            </w:r>
          </w:p>
          <w:p w14:paraId="1A0AF9F4"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  <w:r>
              <w:rPr>
                <w:rFonts w:ascii="宋体" w:hAnsi="宋体"/>
                <w:szCs w:val="21"/>
              </w:rPr>
              <w:t>4</w:t>
            </w:r>
            <w:r>
              <w:rPr>
                <w:rFonts w:hint="eastAsia" w:ascii="宋体" w:hAnsi="宋体"/>
                <w:szCs w:val="21"/>
              </w:rPr>
              <w:t>、产品在3</w:t>
            </w:r>
            <w:r>
              <w:rPr>
                <w:rFonts w:ascii="宋体" w:hAnsi="宋体"/>
                <w:szCs w:val="21"/>
              </w:rPr>
              <w:t>0</w:t>
            </w:r>
            <w:r>
              <w:rPr>
                <w:rFonts w:hint="eastAsia" w:ascii="宋体" w:hAnsi="宋体"/>
                <w:szCs w:val="21"/>
              </w:rPr>
              <w:t>m</w:t>
            </w:r>
            <w:r>
              <w:rPr>
                <w:rFonts w:ascii="宋体" w:hAnsi="宋体"/>
                <w:szCs w:val="21"/>
                <w:vertAlign w:val="superscript"/>
              </w:rPr>
              <w:t>3</w:t>
            </w:r>
            <w:r>
              <w:rPr>
                <w:rFonts w:hint="eastAsia" w:ascii="宋体" w:hAnsi="宋体"/>
                <w:szCs w:val="21"/>
              </w:rPr>
              <w:t>房间内开机消毒1</w:t>
            </w:r>
            <w:r>
              <w:rPr>
                <w:rFonts w:ascii="宋体" w:hAnsi="宋体"/>
                <w:szCs w:val="21"/>
              </w:rPr>
              <w:t>20</w:t>
            </w:r>
            <w:r>
              <w:rPr>
                <w:rFonts w:hint="eastAsia" w:ascii="宋体" w:hAnsi="宋体"/>
                <w:szCs w:val="21"/>
              </w:rPr>
              <w:t>min，室内洁净度达到1</w:t>
            </w:r>
            <w:r>
              <w:rPr>
                <w:rFonts w:ascii="宋体" w:hAnsi="宋体"/>
                <w:szCs w:val="21"/>
              </w:rPr>
              <w:t>00000</w:t>
            </w:r>
            <w:r>
              <w:rPr>
                <w:rFonts w:hint="eastAsia" w:ascii="宋体" w:hAnsi="宋体"/>
                <w:szCs w:val="21"/>
              </w:rPr>
              <w:t>级（十万）要求；</w:t>
            </w:r>
          </w:p>
          <w:p w14:paraId="7EEBCDB7">
            <w:pPr>
              <w:spacing w:line="36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  <w:highlight w:val="yellow"/>
              </w:rPr>
              <w:t>15</w:t>
            </w:r>
            <w:r>
              <w:rPr>
                <w:rFonts w:hint="eastAsia" w:ascii="宋体" w:hAnsi="宋体"/>
                <w:szCs w:val="21"/>
                <w:highlight w:val="yellow"/>
              </w:rPr>
              <w:t>、</w:t>
            </w:r>
            <w:r>
              <w:rPr>
                <w:rFonts w:hint="eastAsia" w:hAnsi="宋体"/>
                <w:szCs w:val="21"/>
                <w:highlight w:val="yellow"/>
              </w:rPr>
              <w:t>产品具有循环定时开关功能，循环定时开关程控数量≥</w:t>
            </w:r>
            <w:r>
              <w:rPr>
                <w:rFonts w:hAnsi="宋体"/>
                <w:szCs w:val="21"/>
                <w:highlight w:val="yellow"/>
              </w:rPr>
              <w:t>9</w:t>
            </w:r>
            <w:r>
              <w:rPr>
                <w:rFonts w:hint="eastAsia" w:hAnsi="宋体"/>
                <w:szCs w:val="21"/>
                <w:highlight w:val="yellow"/>
              </w:rPr>
              <w:t>组；</w:t>
            </w:r>
          </w:p>
          <w:p w14:paraId="7424D79F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16</w:t>
            </w:r>
            <w:r>
              <w:rPr>
                <w:rFonts w:hint="eastAsia" w:ascii="宋体" w:hAnsi="宋体"/>
                <w:szCs w:val="21"/>
              </w:rPr>
              <w:t>、与目前新风工艺的H1</w:t>
            </w:r>
            <w:r>
              <w:rPr>
                <w:rFonts w:ascii="宋体" w:hAnsi="宋体"/>
                <w:szCs w:val="21"/>
              </w:rPr>
              <w:t>3</w:t>
            </w:r>
            <w:r>
              <w:rPr>
                <w:rFonts w:hint="eastAsia" w:ascii="宋体" w:hAnsi="宋体"/>
                <w:szCs w:val="21"/>
              </w:rPr>
              <w:t xml:space="preserve"> Hepa滤网、H1</w:t>
            </w:r>
            <w:r>
              <w:rPr>
                <w:rFonts w:ascii="宋体" w:hAnsi="宋体"/>
                <w:szCs w:val="21"/>
              </w:rPr>
              <w:t>4</w:t>
            </w:r>
            <w:r>
              <w:rPr>
                <w:rFonts w:hint="eastAsia" w:ascii="宋体" w:hAnsi="宋体"/>
                <w:szCs w:val="21"/>
              </w:rPr>
              <w:t xml:space="preserve"> Hepa滤网相比，等离子体模块新风技术碳足迹下降百分比≥5</w:t>
            </w:r>
            <w:r>
              <w:rPr>
                <w:rFonts w:ascii="宋体" w:hAnsi="宋体"/>
                <w:szCs w:val="21"/>
              </w:rPr>
              <w:t>0%</w:t>
            </w:r>
            <w:r>
              <w:rPr>
                <w:rFonts w:hint="eastAsia" w:ascii="宋体" w:hAnsi="宋体"/>
                <w:szCs w:val="21"/>
              </w:rPr>
              <w:t>，更节能</w:t>
            </w:r>
            <w:r>
              <w:rPr>
                <w:rFonts w:ascii="宋体" w:hAnsi="宋体"/>
                <w:szCs w:val="21"/>
              </w:rPr>
              <w:t>;</w:t>
            </w:r>
          </w:p>
          <w:p w14:paraId="2F891599">
            <w:pPr>
              <w:spacing w:line="360" w:lineRule="exact"/>
              <w:rPr>
                <w:rFonts w:ascii="宋体" w:hAnsi="宋体"/>
              </w:rPr>
            </w:pPr>
            <w:r>
              <w:rPr>
                <w:rFonts w:ascii="宋体" w:hAnsi="宋体" w:cs="宋体"/>
                <w:b/>
                <w:sz w:val="24"/>
                <w:szCs w:val="21"/>
              </w:rPr>
              <w:t>*</w:t>
            </w:r>
            <w:r>
              <w:rPr>
                <w:rFonts w:ascii="宋体" w:hAnsi="宋体"/>
              </w:rPr>
              <w:t>17</w:t>
            </w:r>
            <w:r>
              <w:rPr>
                <w:rFonts w:hint="eastAsia" w:ascii="宋体" w:hAnsi="宋体"/>
              </w:rPr>
              <w:t>、产品</w:t>
            </w:r>
            <w:r>
              <w:rPr>
                <w:rFonts w:hint="eastAsia" w:ascii="宋体" w:hAnsi="宋体"/>
                <w:szCs w:val="21"/>
              </w:rPr>
              <w:t>等离子体发生器核心模块</w:t>
            </w:r>
            <w:r>
              <w:rPr>
                <w:rFonts w:hint="eastAsia" w:ascii="宋体" w:hAnsi="宋体"/>
              </w:rPr>
              <w:t>在空间≥2</w:t>
            </w:r>
            <w:r>
              <w:rPr>
                <w:rFonts w:ascii="宋体" w:hAnsi="宋体"/>
              </w:rPr>
              <w:t>00</w:t>
            </w:r>
            <w:r>
              <w:rPr>
                <w:rFonts w:hint="eastAsia" w:ascii="宋体" w:hAnsi="宋体"/>
              </w:rPr>
              <w:t>m</w:t>
            </w:r>
            <w:r>
              <w:rPr>
                <w:rFonts w:ascii="宋体" w:hAnsi="宋体"/>
                <w:vertAlign w:val="superscript"/>
              </w:rPr>
              <w:t>3</w:t>
            </w:r>
            <w:r>
              <w:rPr>
                <w:rFonts w:hint="eastAsia" w:ascii="宋体" w:hAnsi="宋体"/>
              </w:rPr>
              <w:t>室内消毒作用后，空气中自然菌的消亡率≥</w:t>
            </w:r>
            <w:r>
              <w:rPr>
                <w:rFonts w:ascii="宋体" w:hAnsi="宋体"/>
              </w:rPr>
              <w:t>90.00</w:t>
            </w:r>
            <w:r>
              <w:rPr>
                <w:rFonts w:hint="eastAsia" w:ascii="宋体" w:hAnsi="宋体"/>
              </w:rPr>
              <w:t>%；</w:t>
            </w:r>
            <w:r>
              <w:rPr>
                <w:rFonts w:hint="eastAsia" w:ascii="宋体" w:hAnsi="宋体"/>
                <w:szCs w:val="21"/>
              </w:rPr>
              <w:t>（提供CMA认证的检测报告）</w:t>
            </w:r>
          </w:p>
          <w:p w14:paraId="6AA66D1C">
            <w:pPr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cs="宋体"/>
                <w:b/>
                <w:szCs w:val="21"/>
              </w:rPr>
              <w:t>*</w:t>
            </w:r>
            <w:r>
              <w:rPr>
                <w:rFonts w:ascii="宋体" w:hAnsi="宋体"/>
                <w:szCs w:val="21"/>
              </w:rPr>
              <w:t>18、100%额定风量</w:t>
            </w:r>
            <w:r>
              <w:rPr>
                <w:rFonts w:hint="eastAsia" w:ascii="宋体" w:hAnsi="宋体"/>
                <w:szCs w:val="21"/>
              </w:rPr>
              <w:t>（</w:t>
            </w:r>
            <w:r>
              <w:rPr>
                <w:rFonts w:ascii="宋体" w:hAnsi="宋体"/>
                <w:szCs w:val="21"/>
              </w:rPr>
              <w:t>100m</w:t>
            </w:r>
            <w:r>
              <w:rPr>
                <w:rFonts w:ascii="宋体" w:hAnsi="宋体"/>
                <w:szCs w:val="21"/>
                <w:vertAlign w:val="superscript"/>
              </w:rPr>
              <w:t>3</w:t>
            </w:r>
            <w:r>
              <w:rPr>
                <w:rFonts w:ascii="宋体" w:hAnsi="宋体"/>
                <w:szCs w:val="21"/>
              </w:rPr>
              <w:t>/h</w:t>
            </w:r>
            <w:r>
              <w:rPr>
                <w:rFonts w:hint="eastAsia" w:ascii="宋体" w:hAnsi="宋体"/>
                <w:szCs w:val="21"/>
              </w:rPr>
              <w:t>）条件下，产品等离子体发生器核心模块风量阻力≤</w:t>
            </w:r>
            <w:r>
              <w:rPr>
                <w:rFonts w:ascii="宋体" w:hAnsi="宋体"/>
                <w:szCs w:val="21"/>
              </w:rPr>
              <w:t>2.8Pa</w:t>
            </w:r>
            <w:r>
              <w:rPr>
                <w:rFonts w:hint="eastAsia" w:ascii="宋体" w:hAnsi="宋体"/>
                <w:szCs w:val="21"/>
              </w:rPr>
              <w:t>；（提供CMA认证的检测报告）</w:t>
            </w:r>
          </w:p>
          <w:p w14:paraId="0DB4B5CC">
            <w:pPr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cs="宋体"/>
                <w:b/>
                <w:szCs w:val="21"/>
              </w:rPr>
              <w:t>*</w:t>
            </w:r>
            <w:r>
              <w:rPr>
                <w:rFonts w:ascii="宋体" w:hAnsi="宋体"/>
                <w:szCs w:val="21"/>
              </w:rPr>
              <w:t>19、</w:t>
            </w:r>
            <w:r>
              <w:rPr>
                <w:rFonts w:hint="eastAsia" w:ascii="宋体" w:hAnsi="宋体"/>
                <w:szCs w:val="21"/>
              </w:rPr>
              <w:t>产品等离子体发生器核心模块</w:t>
            </w:r>
            <w:r>
              <w:rPr>
                <w:rFonts w:ascii="宋体" w:hAnsi="宋体"/>
                <w:szCs w:val="21"/>
              </w:rPr>
              <w:t>防水</w:t>
            </w:r>
            <w:r>
              <w:rPr>
                <w:rFonts w:hint="eastAsia" w:ascii="宋体" w:hAnsi="宋体"/>
                <w:szCs w:val="21"/>
              </w:rPr>
              <w:t>性能符合GB/T</w:t>
            </w:r>
            <w:r>
              <w:rPr>
                <w:rFonts w:ascii="宋体" w:hAnsi="宋体"/>
                <w:szCs w:val="21"/>
              </w:rPr>
              <w:t xml:space="preserve"> 4208</w:t>
            </w:r>
            <w:r>
              <w:rPr>
                <w:rFonts w:hint="eastAsia" w:ascii="宋体" w:hAnsi="宋体"/>
                <w:szCs w:val="21"/>
              </w:rPr>
              <w:t>-</w:t>
            </w:r>
            <w:r>
              <w:rPr>
                <w:rFonts w:ascii="宋体" w:hAnsi="宋体"/>
                <w:szCs w:val="21"/>
              </w:rPr>
              <w:t>2017</w:t>
            </w:r>
            <w:r>
              <w:rPr>
                <w:rFonts w:hint="eastAsia" w:ascii="宋体" w:hAnsi="宋体"/>
                <w:szCs w:val="21"/>
              </w:rPr>
              <w:t>中的</w:t>
            </w:r>
            <w:r>
              <w:rPr>
                <w:rFonts w:ascii="宋体" w:hAnsi="宋体"/>
                <w:szCs w:val="21"/>
              </w:rPr>
              <w:t>IPX2</w:t>
            </w:r>
            <w:r>
              <w:rPr>
                <w:rFonts w:hint="eastAsia" w:ascii="宋体" w:hAnsi="宋体"/>
                <w:szCs w:val="21"/>
              </w:rPr>
              <w:t>测试方法要求；（提供第三方检测证明文件）</w:t>
            </w:r>
          </w:p>
          <w:p w14:paraId="56BE0561">
            <w:pPr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cs="宋体"/>
                <w:b/>
                <w:szCs w:val="21"/>
              </w:rPr>
              <w:t>*</w:t>
            </w:r>
            <w:r>
              <w:rPr>
                <w:rFonts w:ascii="宋体" w:hAnsi="宋体"/>
                <w:szCs w:val="21"/>
              </w:rPr>
              <w:t>20</w:t>
            </w:r>
            <w:r>
              <w:rPr>
                <w:rFonts w:hint="eastAsia" w:ascii="宋体" w:hAnsi="宋体"/>
                <w:szCs w:val="21"/>
              </w:rPr>
              <w:t>、按GB</w:t>
            </w:r>
            <w:r>
              <w:rPr>
                <w:rFonts w:ascii="宋体" w:hAnsi="宋体"/>
                <w:szCs w:val="21"/>
              </w:rPr>
              <w:t>8624</w:t>
            </w:r>
            <w:r>
              <w:rPr>
                <w:rFonts w:hint="eastAsia" w:ascii="宋体" w:hAnsi="宋体"/>
                <w:szCs w:val="21"/>
              </w:rPr>
              <w:t>-</w:t>
            </w:r>
            <w:r>
              <w:rPr>
                <w:rFonts w:ascii="宋体" w:hAnsi="宋体"/>
                <w:szCs w:val="21"/>
              </w:rPr>
              <w:t>2012</w:t>
            </w:r>
            <w:r>
              <w:rPr>
                <w:rFonts w:hint="eastAsia" w:ascii="宋体" w:hAnsi="宋体"/>
                <w:szCs w:val="21"/>
              </w:rPr>
              <w:t>《建筑材料及制品燃烧性能分级》进行判定，产品等离子体发生器核心模块的燃烧性能符合B</w:t>
            </w:r>
            <w:r>
              <w:rPr>
                <w:rFonts w:ascii="宋体" w:hAnsi="宋体"/>
                <w:szCs w:val="21"/>
                <w:vertAlign w:val="subscript"/>
              </w:rPr>
              <w:t>1</w:t>
            </w:r>
            <w:r>
              <w:rPr>
                <w:rFonts w:hint="eastAsia" w:ascii="宋体" w:hAnsi="宋体"/>
                <w:szCs w:val="21"/>
              </w:rPr>
              <w:t>（C）或B</w:t>
            </w:r>
            <w:r>
              <w:rPr>
                <w:rFonts w:ascii="宋体" w:hAnsi="宋体"/>
                <w:szCs w:val="21"/>
                <w:vertAlign w:val="subscript"/>
              </w:rPr>
              <w:t>3</w:t>
            </w:r>
            <w:r>
              <w:rPr>
                <w:rFonts w:hint="eastAsia" w:ascii="宋体" w:hAnsi="宋体"/>
                <w:szCs w:val="21"/>
              </w:rPr>
              <w:t>级的标准要求；（提供CMA认证的检测报告）</w:t>
            </w:r>
          </w:p>
          <w:p w14:paraId="43DDFA14">
            <w:pPr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cs="宋体"/>
                <w:b/>
                <w:szCs w:val="21"/>
              </w:rPr>
              <w:t>*</w:t>
            </w:r>
            <w:r>
              <w:rPr>
                <w:rFonts w:ascii="宋体" w:hAnsi="宋体"/>
                <w:szCs w:val="21"/>
              </w:rPr>
              <w:t>21、</w:t>
            </w:r>
            <w:r>
              <w:rPr>
                <w:rFonts w:hint="eastAsia" w:ascii="宋体" w:hAnsi="宋体"/>
                <w:szCs w:val="21"/>
              </w:rPr>
              <w:t>产品等离子体发生器核心模块零件为抗菌材料，对铜绿假单胞菌抗菌率≥9</w:t>
            </w:r>
            <w:r>
              <w:rPr>
                <w:rFonts w:ascii="宋体" w:hAnsi="宋体"/>
                <w:szCs w:val="21"/>
              </w:rPr>
              <w:t>9.99</w:t>
            </w:r>
            <w:r>
              <w:rPr>
                <w:rFonts w:hint="eastAsia" w:ascii="宋体" w:hAnsi="宋体"/>
                <w:szCs w:val="21"/>
              </w:rPr>
              <w:t>%，对粪肠球菌抗菌率≥9</w:t>
            </w:r>
            <w:r>
              <w:rPr>
                <w:rFonts w:ascii="宋体" w:hAnsi="宋体"/>
                <w:szCs w:val="21"/>
              </w:rPr>
              <w:t>2.00</w:t>
            </w:r>
            <w:r>
              <w:rPr>
                <w:rFonts w:hint="eastAsia" w:ascii="宋体" w:hAnsi="宋体"/>
                <w:szCs w:val="21"/>
              </w:rPr>
              <w:t>%；（提供CMA认证的检测报告）</w:t>
            </w:r>
          </w:p>
          <w:p w14:paraId="4378BC85">
            <w:pPr>
              <w:spacing w:line="360" w:lineRule="exac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b/>
                <w:szCs w:val="21"/>
              </w:rPr>
              <w:t>*</w:t>
            </w:r>
            <w:r>
              <w:rPr>
                <w:rFonts w:ascii="宋体" w:hAnsi="宋体"/>
                <w:szCs w:val="21"/>
              </w:rPr>
              <w:t>22</w:t>
            </w:r>
            <w:r>
              <w:rPr>
                <w:rFonts w:hint="eastAsia" w:ascii="宋体" w:hAnsi="宋体"/>
                <w:szCs w:val="21"/>
              </w:rPr>
              <w:t>、产品等离子体发生器核心模块电极采用铜片接插件进行连接；（提供产品图片）</w:t>
            </w:r>
          </w:p>
          <w:p w14:paraId="2DEF3929">
            <w:pPr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</w:t>
            </w:r>
            <w:r>
              <w:rPr>
                <w:rFonts w:ascii="宋体" w:hAnsi="宋体"/>
                <w:szCs w:val="21"/>
              </w:rPr>
              <w:t>3</w:t>
            </w:r>
            <w:r>
              <w:rPr>
                <w:rFonts w:hint="eastAsia" w:ascii="宋体" w:hAnsi="宋体"/>
                <w:szCs w:val="21"/>
              </w:rPr>
              <w:t>、产品制造商通过ISO</w:t>
            </w:r>
            <w:r>
              <w:rPr>
                <w:rFonts w:ascii="宋体" w:hAnsi="宋体"/>
                <w:szCs w:val="21"/>
              </w:rPr>
              <w:t>9001</w:t>
            </w:r>
            <w:r>
              <w:rPr>
                <w:rFonts w:hint="eastAsia" w:ascii="宋体" w:hAnsi="宋体"/>
                <w:szCs w:val="21"/>
              </w:rPr>
              <w:t>、ISO</w:t>
            </w:r>
            <w:r>
              <w:rPr>
                <w:rFonts w:ascii="宋体" w:hAnsi="宋体"/>
                <w:szCs w:val="21"/>
              </w:rPr>
              <w:t>14</w:t>
            </w:r>
            <w:r>
              <w:rPr>
                <w:rFonts w:hint="eastAsia" w:ascii="宋体" w:hAnsi="宋体"/>
                <w:szCs w:val="21"/>
              </w:rPr>
              <w:t>001、ISO45001体系认证；</w:t>
            </w:r>
          </w:p>
        </w:tc>
      </w:tr>
      <w:tr w14:paraId="3D2B15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  <w:jc w:val="center"/>
        </w:trPr>
        <w:tc>
          <w:tcPr>
            <w:tcW w:w="9873" w:type="dxa"/>
            <w:noWrap/>
          </w:tcPr>
          <w:p w14:paraId="75619F59">
            <w:pPr>
              <w:spacing w:line="360" w:lineRule="exact"/>
              <w:jc w:val="left"/>
              <w:rPr>
                <w:rFonts w:ascii="宋体" w:hAnsi="宋体"/>
                <w:szCs w:val="21"/>
              </w:rPr>
            </w:pPr>
          </w:p>
        </w:tc>
      </w:tr>
    </w:tbl>
    <w:p w14:paraId="38EFB4FC">
      <w:pPr>
        <w:spacing w:line="360" w:lineRule="exact"/>
        <w:jc w:val="left"/>
        <w:rPr>
          <w:rFonts w:ascii="宋体" w:hAnsi="宋体"/>
        </w:rPr>
      </w:pPr>
      <w:r>
        <w:rPr>
          <w:rFonts w:hint="eastAsia" w:ascii="宋体" w:hAnsi="宋体"/>
        </w:rPr>
        <w:t>注：带“</w:t>
      </w:r>
      <w:r>
        <w:rPr>
          <w:rFonts w:ascii="宋体" w:hAnsi="宋体"/>
        </w:rPr>
        <w:t>*</w:t>
      </w:r>
      <w:r>
        <w:rPr>
          <w:rFonts w:hint="eastAsia" w:ascii="宋体" w:hAnsi="宋体"/>
        </w:rPr>
        <w:t>”为关键性参数</w:t>
      </w:r>
    </w:p>
    <w:p w14:paraId="64E61E1C"/>
    <w:p w14:paraId="3A33640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llMzYwMjY0MTg5YmE0MjYzNGM1YWFlYWUyNjEwM2EifQ=="/>
  </w:docVars>
  <w:rsids>
    <w:rsidRoot w:val="00000000"/>
    <w:rsid w:val="02975BE7"/>
    <w:rsid w:val="5B385F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keepLines/>
      <w:spacing w:before="260" w:after="260" w:line="416" w:lineRule="auto"/>
      <w:jc w:val="center"/>
      <w:outlineLvl w:val="2"/>
    </w:pPr>
    <w:rPr>
      <w:rFonts w:ascii="宋体"/>
      <w:b/>
      <w:bCs/>
      <w:kern w:val="0"/>
      <w:sz w:val="32"/>
      <w:szCs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702</Words>
  <Characters>910</Characters>
  <Lines>0</Lines>
  <Paragraphs>0</Paragraphs>
  <TotalTime>0</TotalTime>
  <ScaleCrop>false</ScaleCrop>
  <LinksUpToDate>false</LinksUpToDate>
  <CharactersWithSpaces>914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2025-08-12T08:52:00Z</dcterms:created>
  <dc:creator>Administrator.PC-20241018MLQT</dc:creator>
  <cp:lastModifiedBy>WPS_1665390628</cp:lastModifiedBy>
  <dcterms:modified xsi:type="dcterms:W3CDTF">2025-09-11T00:02:41Z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DE74184CB59340CAA01166C71341CE40_13</vt:lpwstr>
  </property>
</Properties>
</file>