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5AE6B0F">
      <w:pPr>
        <w:jc w:val="center"/>
        <w:rPr>
          <w:rFonts w:hint="default"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sz w:val="36"/>
          <w:szCs w:val="36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sz w:val="36"/>
          <w:szCs w:val="36"/>
          <w:shd w:val="clear" w:fill="FFFFFF"/>
          <w:lang w:val="en-US" w:eastAsia="zh-CN"/>
        </w:rPr>
        <w:t>产品技术规格要求</w:t>
      </w:r>
    </w:p>
    <w:p w14:paraId="5BEC868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0" w:leftChars="200"/>
        <w:textAlignment w:val="auto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</w:pPr>
    </w:p>
    <w:p w14:paraId="6D96049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0" w:leftChars="200"/>
        <w:textAlignment w:val="auto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</w:pPr>
    </w:p>
    <w:p w14:paraId="712DB2D7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0" w:leftChars="200"/>
        <w:textAlignment w:val="auto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项目概况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br w:type="textWrapping"/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项目名称：综合楼和辅楼纱窗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eastAsia="zh-CN"/>
        </w:rPr>
        <w:t>、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百叶窗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安装工程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br w:type="textWrapping"/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项目背景：已完工的综合楼和辅楼窗户需安装纱窗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eastAsia="zh-CN"/>
        </w:rPr>
        <w:t>、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百叶窗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，以提升室内环境舒适度及安全性。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br w:type="textWrapping"/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安装范围：综合楼及辅楼所有需安装纱窗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eastAsia="zh-CN"/>
        </w:rPr>
        <w:t>、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百叶窗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的窗户区域。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br w:type="textWrapping"/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二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、招标内容及要求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br w:type="textWrapping"/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1、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产品规格：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br w:type="textWrapping"/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纱窗类型：白色金刚网纱窗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br w:type="textWrapping"/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开启方式：可移动推拉式（包括上下推拉或左右推拉两种形式）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br w:type="textWrapping"/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安装面积：约405平方米（具体面积以实际安装后测量为准）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br w:type="textWrapping"/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2、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产品规格：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br w:type="textWrapping"/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类型：手动百叶窗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br w:type="textWrapping"/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叶片宽度：50mm-75mm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br w:type="textWrapping"/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材质：铝合金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br w:type="textWrapping"/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颜色：银灰色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br w:type="textWrapping"/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核心技术要求：百叶翻转无卡顿、升降省力，绳索/拉杆耐用不易断、翻转后能稳定固定，无自动回摆、叶片拼接紧密、边框贴合窗框，抗风防晃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br w:type="textWrapping"/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安装面积：约1152平方米（具体面积以实际安装后测量为准）</w:t>
      </w:r>
    </w:p>
    <w:p w14:paraId="73392359"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</w:pPr>
      <w:r>
        <w:drawing>
          <wp:inline distT="0" distB="0" distL="114300" distR="114300">
            <wp:extent cx="1863090" cy="1872615"/>
            <wp:effectExtent l="0" t="0" r="3810" b="1333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 flipV="1">
                      <a:off x="0" y="0"/>
                      <a:ext cx="1863090" cy="1872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DABB85E"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三、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报价方式：</w:t>
      </w:r>
      <w:bookmarkStart w:id="0" w:name="_GoBack"/>
      <w:bookmarkEnd w:id="0"/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br w:type="textWrapping"/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供应商需按平方米进行报价，报价应包含所有材料费、人工费、运输费、税费等一切相关费用。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br w:type="textWrapping"/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报价需明确标注为含税价格。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br w:type="textWrapping"/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4437536"/>
    <w:multiLevelType w:val="singleLevel"/>
    <w:tmpl w:val="F4437536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2D34C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10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2025-11-12T08:14:28Z</dcterms:created>
  <dc:creator>Administrator</dc:creator>
  <cp:lastModifiedBy>Administrator</cp:lastModifiedBy>
  <dcterms:modified xsi:type="dcterms:W3CDTF">2025-11-12T08:25:01Z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KSOTemplateDocerSaveRecord">
    <vt:lpwstr>eyJoZGlkIjoiZTkxOWI1YzEzNjNhODBmMWUxMTlmM2I0ZTJhYTZkZmUifQ==</vt:lpwstr>
  </property>
  <property fmtid="{D5CDD505-2E9C-101B-9397-08002B2CF9AE}" pid="4" name="ICV">
    <vt:lpwstr>BD84E02762F64F51B1A815C6895ACB53_12</vt:lpwstr>
  </property>
</Properties>
</file>