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ABD65B">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u w:val="single"/>
          <w:lang w:val="en-US" w:eastAsia="zh-CN"/>
        </w:rPr>
      </w:pPr>
      <w:r>
        <w:rPr>
          <w:rFonts w:hint="default" w:ascii="Times New Roman" w:hAnsi="Times New Roman" w:eastAsia="方正小标宋简体" w:cs="Times New Roman"/>
          <w:b/>
          <w:bCs/>
          <w:w w:val="110"/>
          <w:kern w:val="1"/>
          <w:sz w:val="44"/>
          <w:szCs w:val="44"/>
          <w:u w:val="single"/>
          <w:lang w:val="en-US" w:eastAsia="zh-CN"/>
        </w:rPr>
        <w:t>特码斯派克工业技术(安徽)有限公司</w:t>
      </w:r>
    </w:p>
    <w:p w14:paraId="07DF0B01">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rPr>
      </w:pPr>
      <w:r>
        <w:rPr>
          <w:rFonts w:hint="default" w:ascii="Times New Roman" w:hAnsi="Times New Roman" w:eastAsia="方正小标宋简体" w:cs="Times New Roman"/>
          <w:b/>
          <w:bCs/>
          <w:kern w:val="1"/>
          <w:sz w:val="44"/>
          <w:szCs w:val="44"/>
          <w:u w:val="none"/>
          <w:lang w:val="en-US" w:eastAsia="zh-CN"/>
        </w:rPr>
        <w:t>采购</w:t>
      </w:r>
      <w:r>
        <w:rPr>
          <w:rFonts w:hint="default" w:ascii="Times New Roman" w:hAnsi="Times New Roman" w:eastAsia="方正小标宋简体" w:cs="Times New Roman"/>
          <w:b/>
          <w:bCs/>
          <w:kern w:val="1"/>
          <w:sz w:val="44"/>
          <w:szCs w:val="44"/>
        </w:rPr>
        <w:t>项目</w:t>
      </w:r>
    </w:p>
    <w:p w14:paraId="610EAAA4">
      <w:pPr>
        <w:pStyle w:val="2"/>
        <w:numPr>
          <w:ilvl w:val="0"/>
          <w:numId w:val="0"/>
        </w:numPr>
        <w:bidi w:val="0"/>
        <w:jc w:val="center"/>
        <w:rPr>
          <w:rFonts w:hint="default" w:ascii="Times New Roman" w:hAnsi="Times New Roman" w:eastAsia="宋体" w:cs="Times New Roman"/>
          <w:b/>
          <w:bCs/>
          <w:kern w:val="1"/>
          <w:sz w:val="24"/>
          <w:lang w:val="en-US" w:eastAsia="zh-CN"/>
        </w:rPr>
      </w:pPr>
      <w:bookmarkStart w:id="0" w:name="_Toc10378"/>
      <w:bookmarkStart w:id="1" w:name="_Toc20062"/>
      <w:r>
        <w:rPr>
          <w:rFonts w:hint="default" w:ascii="Times New Roman" w:hAnsi="Times New Roman" w:cs="Times New Roman"/>
          <w:sz w:val="44"/>
          <w:szCs w:val="44"/>
          <w:lang w:val="en-US" w:eastAsia="zh-CN"/>
        </w:rPr>
        <w:t xml:space="preserve"> 技术规格书</w:t>
      </w:r>
      <w:bookmarkEnd w:id="0"/>
    </w:p>
    <w:p w14:paraId="170EA870">
      <w:pPr>
        <w:pStyle w:val="9"/>
        <w:spacing w:before="242" w:line="360" w:lineRule="auto"/>
        <w:outlineLvl w:val="9"/>
        <w:rPr>
          <w:rFonts w:hint="default" w:ascii="Times New Roman" w:hAnsi="Times New Roman" w:eastAsia="宋体" w:cs="Times New Roman"/>
          <w:b/>
          <w:bCs/>
          <w:spacing w:val="1"/>
          <w:sz w:val="24"/>
          <w:szCs w:val="24"/>
        </w:rPr>
      </w:pPr>
      <w:r>
        <w:rPr>
          <w:rFonts w:hint="default" w:ascii="Times New Roman" w:hAnsi="Times New Roman" w:eastAsia="宋体" w:cs="Times New Roman"/>
          <w:b/>
          <w:bCs/>
          <w:spacing w:val="1"/>
          <w:sz w:val="24"/>
          <w:szCs w:val="24"/>
          <w:lang w:val="en-US" w:eastAsia="zh-CN"/>
        </w:rPr>
        <w:t>一</w:t>
      </w:r>
      <w:r>
        <w:rPr>
          <w:rFonts w:hint="default" w:ascii="Times New Roman" w:hAnsi="Times New Roman" w:eastAsia="宋体" w:cs="Times New Roman"/>
          <w:b/>
          <w:bCs/>
          <w:spacing w:val="1"/>
          <w:sz w:val="24"/>
          <w:szCs w:val="24"/>
        </w:rPr>
        <w:t>、</w:t>
      </w:r>
      <w:r>
        <w:rPr>
          <w:rFonts w:hint="default" w:ascii="Times New Roman" w:hAnsi="Times New Roman" w:eastAsia="宋体" w:cs="Times New Roman"/>
          <w:b/>
          <w:bCs/>
          <w:spacing w:val="-5"/>
          <w:sz w:val="24"/>
          <w:szCs w:val="24"/>
        </w:rPr>
        <w:t>项目范围</w:t>
      </w:r>
    </w:p>
    <w:p w14:paraId="477FA5AE">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产品名称：多角度重型平板铣边机</w:t>
      </w:r>
    </w:p>
    <w:p w14:paraId="0B8BD247">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供货数量：</w:t>
      </w:r>
      <w:r>
        <w:rPr>
          <w:rFonts w:hint="eastAsia" w:ascii="Times New Roman" w:hAnsi="Times New Roman" w:eastAsia="宋体" w:cs="Times New Roman"/>
          <w:bCs/>
          <w:snapToGrid/>
          <w:kern w:val="2"/>
          <w:sz w:val="24"/>
          <w:szCs w:val="24"/>
          <w:lang w:val="en-US" w:eastAsia="zh-CN"/>
        </w:rPr>
        <w:t>2</w:t>
      </w:r>
      <w:r>
        <w:rPr>
          <w:rFonts w:hint="default" w:ascii="Times New Roman" w:hAnsi="Times New Roman" w:eastAsia="宋体" w:cs="Times New Roman"/>
          <w:bCs/>
          <w:snapToGrid/>
          <w:kern w:val="2"/>
          <w:sz w:val="24"/>
          <w:szCs w:val="24"/>
          <w:lang w:val="en-US" w:eastAsia="zh-CN"/>
        </w:rPr>
        <w:t>台</w:t>
      </w:r>
    </w:p>
    <w:p w14:paraId="1405D782">
      <w:pPr>
        <w:pStyle w:val="9"/>
        <w:spacing w:before="242" w:line="360" w:lineRule="auto"/>
        <w:outlineLvl w:val="9"/>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二、交货时间及地点</w:t>
      </w:r>
    </w:p>
    <w:p w14:paraId="3D6BECF9">
      <w:pPr>
        <w:widowControl w:val="0"/>
        <w:kinsoku/>
        <w:autoSpaceDE/>
        <w:autoSpaceDN/>
        <w:adjustRightInd/>
        <w:snapToGrid/>
        <w:spacing w:line="360" w:lineRule="auto"/>
        <w:ind w:firstLine="480" w:firstLineChars="200"/>
        <w:jc w:val="both"/>
        <w:textAlignment w:val="auto"/>
        <w:rPr>
          <w:rFonts w:hint="default" w:ascii="Times New Roman" w:hAnsi="Times New Roman" w:cs="Times New Roman"/>
          <w:lang w:eastAsia="zh-CN"/>
        </w:rPr>
      </w:pPr>
      <w:r>
        <w:rPr>
          <w:rFonts w:hint="default" w:ascii="Times New Roman" w:hAnsi="Times New Roman" w:eastAsia="宋体" w:cs="Times New Roman"/>
          <w:bCs/>
          <w:snapToGrid/>
          <w:color w:val="FF0000"/>
          <w:kern w:val="2"/>
          <w:sz w:val="24"/>
          <w:szCs w:val="24"/>
          <w:lang w:val="en-US" w:eastAsia="zh-CN"/>
        </w:rPr>
        <w:t>于</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年</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月</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日前</w:t>
      </w:r>
      <w:r>
        <w:rPr>
          <w:rFonts w:hint="default" w:ascii="Times New Roman" w:hAnsi="Times New Roman" w:eastAsia="宋体" w:cs="Times New Roman"/>
          <w:bCs/>
          <w:snapToGrid/>
          <w:color w:val="auto"/>
          <w:kern w:val="2"/>
          <w:sz w:val="24"/>
          <w:szCs w:val="24"/>
          <w:lang w:val="en-US" w:eastAsia="zh-CN"/>
        </w:rPr>
        <w:t>负责将设备免费运至需方指定地点。</w:t>
      </w:r>
    </w:p>
    <w:p w14:paraId="65ACBA0E">
      <w:pPr>
        <w:pStyle w:val="9"/>
        <w:spacing w:before="100" w:line="360" w:lineRule="auto"/>
        <w:outlineLvl w:val="9"/>
        <w:rPr>
          <w:rFonts w:hint="default" w:ascii="Times New Roman" w:hAnsi="Times New Roman" w:eastAsia="新宋体" w:cs="Times New Roman"/>
          <w:sz w:val="24"/>
          <w:szCs w:val="24"/>
        </w:rPr>
      </w:pPr>
      <w:r>
        <w:rPr>
          <w:rFonts w:hint="default" w:ascii="Times New Roman" w:hAnsi="Times New Roman" w:eastAsia="新宋体" w:cs="Times New Roman"/>
          <w:b/>
          <w:bCs/>
          <w:spacing w:val="1"/>
          <w:sz w:val="24"/>
          <w:szCs w:val="24"/>
          <w:lang w:val="en-US" w:eastAsia="zh-CN"/>
        </w:rPr>
        <w:t>三</w:t>
      </w:r>
      <w:r>
        <w:rPr>
          <w:rFonts w:hint="default" w:ascii="Times New Roman" w:hAnsi="Times New Roman" w:eastAsia="新宋体" w:cs="Times New Roman"/>
          <w:b/>
          <w:bCs/>
          <w:spacing w:val="1"/>
          <w:sz w:val="24"/>
          <w:szCs w:val="24"/>
        </w:rPr>
        <w:t>、总则</w:t>
      </w:r>
    </w:p>
    <w:p w14:paraId="1CF06951">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eastAsia="zh-CN"/>
        </w:rPr>
        <w:t>1、本规</w:t>
      </w:r>
      <w:r>
        <w:rPr>
          <w:rFonts w:hint="default" w:ascii="Times New Roman" w:hAnsi="Times New Roman" w:eastAsia="宋体" w:cs="Times New Roman"/>
          <w:bCs/>
          <w:snapToGrid/>
          <w:kern w:val="2"/>
          <w:sz w:val="24"/>
          <w:szCs w:val="24"/>
          <w:lang w:val="en-US" w:eastAsia="zh-CN"/>
        </w:rPr>
        <w:t>格书适用于中感集团特码斯派克工业技术</w:t>
      </w:r>
      <w:r>
        <w:rPr>
          <w:rFonts w:hint="eastAsia" w:ascii="Times New Roman" w:hAnsi="Times New Roman" w:eastAsia="宋体" w:cs="Times New Roman"/>
          <w:bCs/>
          <w:snapToGrid/>
          <w:kern w:val="2"/>
          <w:sz w:val="24"/>
          <w:szCs w:val="24"/>
          <w:lang w:val="en-US" w:eastAsia="zh-CN"/>
        </w:rPr>
        <w:t>（安徽）</w:t>
      </w:r>
      <w:r>
        <w:rPr>
          <w:rFonts w:hint="default" w:ascii="Times New Roman" w:hAnsi="Times New Roman" w:eastAsia="宋体" w:cs="Times New Roman"/>
          <w:bCs/>
          <w:snapToGrid/>
          <w:kern w:val="2"/>
          <w:sz w:val="24"/>
          <w:szCs w:val="24"/>
          <w:lang w:val="en-US" w:eastAsia="zh-CN"/>
        </w:rPr>
        <w:t>有限公司</w:t>
      </w:r>
      <w:r>
        <w:rPr>
          <w:rFonts w:hint="eastAsia" w:ascii="Times New Roman" w:hAnsi="Times New Roman" w:eastAsia="宋体" w:cs="Times New Roman"/>
          <w:bCs/>
          <w:snapToGrid/>
          <w:kern w:val="2"/>
          <w:sz w:val="24"/>
          <w:szCs w:val="24"/>
          <w:lang w:val="en-US" w:eastAsia="zh-CN"/>
        </w:rPr>
        <w:t>多角度重型平板铣边机</w:t>
      </w:r>
      <w:r>
        <w:rPr>
          <w:rFonts w:hint="default" w:ascii="Times New Roman" w:hAnsi="Times New Roman" w:eastAsia="宋体" w:cs="Times New Roman"/>
          <w:bCs/>
          <w:snapToGrid/>
          <w:kern w:val="2"/>
          <w:sz w:val="24"/>
          <w:szCs w:val="24"/>
          <w:lang w:val="en-US" w:eastAsia="zh-CN"/>
        </w:rPr>
        <w:t>设备招标。</w:t>
      </w:r>
    </w:p>
    <w:p w14:paraId="30FC9762">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2、本规格书提出的技术要求，未充分引述有关标准和规范的条文，投标厂家应承诺提供符合本规格书和有关最新工业标准及规程规范的优质产品。</w:t>
      </w:r>
    </w:p>
    <w:p w14:paraId="04A036F5">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3、设备采用的专利涉及的全部费用均被认为已包含在设备报价中，</w:t>
      </w:r>
      <w:r>
        <w:rPr>
          <w:rFonts w:hint="default" w:ascii="Times New Roman" w:hAnsi="Times New Roman" w:eastAsia="宋体" w:cs="Times New Roman"/>
          <w:bCs/>
          <w:snapToGrid/>
          <w:kern w:val="2"/>
          <w:sz w:val="24"/>
          <w:szCs w:val="24"/>
          <w:lang w:val="en-US" w:eastAsia="zh-CN"/>
        </w:rPr>
        <w:t>响应</w:t>
      </w:r>
      <w:r>
        <w:rPr>
          <w:rFonts w:hint="default" w:ascii="Times New Roman" w:hAnsi="Times New Roman" w:eastAsia="宋体" w:cs="Times New Roman"/>
          <w:bCs/>
          <w:snapToGrid/>
          <w:kern w:val="2"/>
          <w:sz w:val="24"/>
          <w:szCs w:val="24"/>
          <w:lang w:eastAsia="zh-CN"/>
        </w:rPr>
        <w:t>厂家应保证购方不承担有关设备专利的一切责任。</w:t>
      </w:r>
    </w:p>
    <w:p w14:paraId="6EC73FB4">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4、本规格书提出的是最低限度的技术要求，投标厂家必须保证及完全履行提供符合本规格书要求的产品。</w:t>
      </w:r>
    </w:p>
    <w:p w14:paraId="57F2E6A6">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5、本规格书中的技术参数和关键技术要求，为不可偏离项，投标厂家必须完全满足，否则视为无效标。</w:t>
      </w:r>
    </w:p>
    <w:p w14:paraId="51EEDA81">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6、本规格书经供、需双方协商确定后可作为订货合同的技术附件，与合同正文具有同等效力。</w:t>
      </w:r>
    </w:p>
    <w:p w14:paraId="43FB7948">
      <w:pPr>
        <w:pStyle w:val="9"/>
        <w:spacing w:before="242" w:line="360" w:lineRule="auto"/>
        <w:outlineLvl w:val="9"/>
        <w:rPr>
          <w:rFonts w:hint="default" w:ascii="Times New Roman" w:hAnsi="Times New Roman" w:eastAsia="宋体" w:cs="Times New Roman"/>
          <w:b/>
          <w:bCs/>
          <w:spacing w:val="1"/>
          <w:sz w:val="24"/>
          <w:szCs w:val="24"/>
          <w:lang w:eastAsia="zh-CN"/>
        </w:rPr>
      </w:pPr>
      <w:r>
        <w:rPr>
          <w:rFonts w:hint="default" w:ascii="Times New Roman" w:hAnsi="Times New Roman" w:eastAsia="宋体" w:cs="Times New Roman"/>
          <w:b/>
          <w:bCs/>
          <w:spacing w:val="1"/>
          <w:sz w:val="24"/>
          <w:szCs w:val="24"/>
          <w:lang w:val="en-US" w:eastAsia="zh-CN"/>
        </w:rPr>
        <w:t>四、</w:t>
      </w:r>
      <w:r>
        <w:rPr>
          <w:rFonts w:hint="default" w:ascii="Times New Roman" w:hAnsi="Times New Roman" w:eastAsia="宋体" w:cs="Times New Roman"/>
          <w:b/>
          <w:bCs/>
          <w:spacing w:val="1"/>
          <w:sz w:val="24"/>
          <w:szCs w:val="24"/>
        </w:rPr>
        <w:t>供货</w:t>
      </w:r>
      <w:r>
        <w:rPr>
          <w:rFonts w:hint="default" w:ascii="Times New Roman" w:hAnsi="Times New Roman" w:eastAsia="宋体" w:cs="Times New Roman"/>
          <w:b/>
          <w:bCs/>
          <w:spacing w:val="1"/>
          <w:sz w:val="24"/>
          <w:szCs w:val="24"/>
          <w:lang w:val="en-US" w:eastAsia="zh-CN"/>
        </w:rPr>
        <w:t>清单</w:t>
      </w:r>
    </w:p>
    <w:p w14:paraId="62F13A5C">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bidi="ar-SA"/>
        </w:rPr>
      </w:pPr>
      <w:r>
        <w:rPr>
          <w:rFonts w:hint="default" w:ascii="Times New Roman" w:hAnsi="Times New Roman" w:eastAsia="宋体" w:cs="Times New Roman"/>
          <w:bCs/>
          <w:snapToGrid/>
          <w:kern w:val="2"/>
          <w:sz w:val="24"/>
          <w:szCs w:val="24"/>
          <w:lang w:val="en-US" w:eastAsia="zh-CN"/>
        </w:rPr>
        <w:t>多角度重型平板铣边机</w:t>
      </w:r>
      <w:r>
        <w:rPr>
          <w:rFonts w:hint="default" w:ascii="Times New Roman" w:hAnsi="Times New Roman" w:eastAsia="宋体" w:cs="Times New Roman"/>
          <w:bCs/>
          <w:snapToGrid/>
          <w:kern w:val="2"/>
          <w:sz w:val="24"/>
          <w:szCs w:val="24"/>
          <w:lang w:val="en-US" w:eastAsia="zh-CN" w:bidi="ar-SA"/>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586"/>
        <w:gridCol w:w="3387"/>
      </w:tblGrid>
      <w:tr w14:paraId="3CFDA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noWrap w:val="0"/>
            <w:vAlign w:val="center"/>
          </w:tcPr>
          <w:p w14:paraId="5025E03B">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序号</w:t>
            </w:r>
          </w:p>
        </w:tc>
        <w:tc>
          <w:tcPr>
            <w:tcW w:w="1518" w:type="dxa"/>
            <w:shd w:val="clear" w:color="auto" w:fill="E7E6E6"/>
            <w:noWrap w:val="0"/>
            <w:vAlign w:val="center"/>
          </w:tcPr>
          <w:p w14:paraId="6590173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名称</w:t>
            </w:r>
          </w:p>
        </w:tc>
        <w:tc>
          <w:tcPr>
            <w:tcW w:w="869" w:type="dxa"/>
            <w:shd w:val="clear" w:color="auto" w:fill="E7E6E6"/>
            <w:noWrap w:val="0"/>
            <w:vAlign w:val="center"/>
          </w:tcPr>
          <w:p w14:paraId="1FA8FFE1">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单位</w:t>
            </w:r>
          </w:p>
        </w:tc>
        <w:tc>
          <w:tcPr>
            <w:tcW w:w="1586" w:type="dxa"/>
            <w:shd w:val="clear" w:color="auto" w:fill="E7E6E6"/>
            <w:noWrap w:val="0"/>
            <w:vAlign w:val="center"/>
          </w:tcPr>
          <w:p w14:paraId="7A244B1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数量</w:t>
            </w:r>
          </w:p>
        </w:tc>
        <w:tc>
          <w:tcPr>
            <w:tcW w:w="3387" w:type="dxa"/>
            <w:shd w:val="clear" w:color="auto" w:fill="E7E6E6"/>
            <w:noWrap w:val="0"/>
            <w:vAlign w:val="center"/>
          </w:tcPr>
          <w:p w14:paraId="7D27247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备注</w:t>
            </w:r>
          </w:p>
        </w:tc>
      </w:tr>
      <w:tr w14:paraId="01A06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881" w:type="dxa"/>
            <w:noWrap w:val="0"/>
            <w:vAlign w:val="center"/>
          </w:tcPr>
          <w:p w14:paraId="64BADD2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518" w:type="dxa"/>
            <w:noWrap w:val="0"/>
            <w:vAlign w:val="center"/>
          </w:tcPr>
          <w:p w14:paraId="0EDEECA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snapToGrid/>
                <w:kern w:val="2"/>
                <w:sz w:val="24"/>
                <w:szCs w:val="24"/>
                <w:lang w:val="en-US" w:eastAsia="zh-CN"/>
              </w:rPr>
              <w:t>多角度重型平板铣边机</w:t>
            </w:r>
          </w:p>
        </w:tc>
        <w:tc>
          <w:tcPr>
            <w:tcW w:w="869" w:type="dxa"/>
            <w:noWrap w:val="0"/>
            <w:vAlign w:val="center"/>
          </w:tcPr>
          <w:p w14:paraId="5F1AC790">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台</w:t>
            </w:r>
          </w:p>
        </w:tc>
        <w:tc>
          <w:tcPr>
            <w:tcW w:w="1586" w:type="dxa"/>
            <w:noWrap w:val="0"/>
            <w:vAlign w:val="center"/>
          </w:tcPr>
          <w:p w14:paraId="1431ADD1">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w:t>
            </w:r>
          </w:p>
        </w:tc>
        <w:tc>
          <w:tcPr>
            <w:tcW w:w="3387" w:type="dxa"/>
            <w:noWrap w:val="0"/>
            <w:vAlign w:val="center"/>
          </w:tcPr>
          <w:p w14:paraId="1403F103">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兼具铣边机与坡口机双重功能，可实现厚板坡口、复合板阶梯坡口等加工</w:t>
            </w:r>
          </w:p>
        </w:tc>
      </w:tr>
    </w:tbl>
    <w:p w14:paraId="21DD0A07">
      <w:pPr>
        <w:spacing w:line="360" w:lineRule="auto"/>
        <w:ind w:firstLine="480"/>
        <w:rPr>
          <w:rFonts w:hint="default" w:ascii="Times New Roman" w:hAnsi="Times New Roman" w:eastAsia="宋体" w:cs="Times New Roman"/>
          <w:b/>
          <w:bCs/>
          <w:spacing w:val="1"/>
          <w:sz w:val="24"/>
          <w:szCs w:val="24"/>
          <w:lang w:val="en-US" w:eastAsia="zh-CN"/>
        </w:rPr>
      </w:pPr>
    </w:p>
    <w:p w14:paraId="040B34AE">
      <w:pPr>
        <w:numPr>
          <w:ilvl w:val="0"/>
          <w:numId w:val="2"/>
        </w:numPr>
        <w:spacing w:line="360" w:lineRule="auto"/>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主要技术参数</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5"/>
        <w:gridCol w:w="4600"/>
        <w:gridCol w:w="1187"/>
      </w:tblGrid>
      <w:tr w14:paraId="2EC74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905" w:type="dxa"/>
            <w:shd w:val="clear" w:color="auto" w:fill="D7D7D7" w:themeFill="background1" w:themeFillShade="D8"/>
            <w:vAlign w:val="center"/>
          </w:tcPr>
          <w:p w14:paraId="1E5E88CD">
            <w:pPr>
              <w:keepNext w:val="0"/>
              <w:keepLines w:val="0"/>
              <w:widowControl/>
              <w:suppressLineNumbers w:val="0"/>
              <w:jc w:val="center"/>
              <w:rPr>
                <w:rFonts w:hint="default" w:ascii="Times New Roman" w:hAnsi="Times New Roman" w:eastAsia="宋体" w:cs="Times New Roman"/>
                <w:b/>
                <w:bCs/>
                <w:sz w:val="22"/>
                <w:szCs w:val="22"/>
              </w:rPr>
            </w:pPr>
            <w:r>
              <w:rPr>
                <w:rFonts w:hint="default" w:ascii="Times New Roman" w:hAnsi="Times New Roman" w:eastAsia="宋体" w:cs="Times New Roman"/>
                <w:b/>
                <w:bCs/>
                <w:color w:val="000000"/>
                <w:kern w:val="0"/>
                <w:sz w:val="22"/>
                <w:szCs w:val="22"/>
                <w:lang w:val="en-US" w:eastAsia="zh-CN" w:bidi="ar"/>
              </w:rPr>
              <w:t>项目</w:t>
            </w:r>
          </w:p>
        </w:tc>
        <w:tc>
          <w:tcPr>
            <w:tcW w:w="4600" w:type="dxa"/>
            <w:shd w:val="clear" w:color="auto" w:fill="D7D7D7" w:themeFill="background1" w:themeFillShade="D8"/>
            <w:vAlign w:val="center"/>
          </w:tcPr>
          <w:p w14:paraId="6C79E3A3">
            <w:pPr>
              <w:keepNext w:val="0"/>
              <w:keepLines w:val="0"/>
              <w:widowControl/>
              <w:suppressLineNumbers w:val="0"/>
              <w:jc w:val="center"/>
              <w:rPr>
                <w:rFonts w:hint="default" w:ascii="Times New Roman" w:hAnsi="Times New Roman" w:eastAsia="宋体" w:cs="Times New Roman"/>
                <w:b/>
                <w:bCs/>
                <w:sz w:val="22"/>
                <w:szCs w:val="22"/>
              </w:rPr>
            </w:pPr>
            <w:r>
              <w:rPr>
                <w:rFonts w:hint="default" w:ascii="Times New Roman" w:hAnsi="Times New Roman" w:eastAsia="宋体" w:cs="Times New Roman"/>
                <w:b/>
                <w:bCs/>
                <w:color w:val="000000"/>
                <w:kern w:val="0"/>
                <w:sz w:val="22"/>
                <w:szCs w:val="22"/>
                <w:lang w:val="en-US" w:eastAsia="zh-CN" w:bidi="ar"/>
              </w:rPr>
              <w:t>规格</w:t>
            </w:r>
          </w:p>
        </w:tc>
        <w:tc>
          <w:tcPr>
            <w:tcW w:w="1187" w:type="dxa"/>
            <w:shd w:val="clear" w:color="auto" w:fill="D7D7D7" w:themeFill="background1" w:themeFillShade="D8"/>
            <w:vAlign w:val="center"/>
          </w:tcPr>
          <w:p w14:paraId="51C31451">
            <w:pPr>
              <w:keepNext w:val="0"/>
              <w:keepLines w:val="0"/>
              <w:widowControl/>
              <w:suppressLineNumbers w:val="0"/>
              <w:jc w:val="center"/>
              <w:rPr>
                <w:rFonts w:hint="default" w:ascii="Times New Roman" w:hAnsi="Times New Roman" w:eastAsia="宋体" w:cs="Times New Roman"/>
                <w:b/>
                <w:bCs/>
                <w:color w:val="000000"/>
                <w:kern w:val="0"/>
                <w:sz w:val="22"/>
                <w:szCs w:val="22"/>
                <w:lang w:val="en-US" w:eastAsia="zh-CN" w:bidi="ar"/>
              </w:rPr>
            </w:pPr>
            <w:r>
              <w:rPr>
                <w:rFonts w:hint="default" w:ascii="Times New Roman" w:hAnsi="Times New Roman" w:eastAsia="宋体" w:cs="Times New Roman"/>
                <w:b/>
                <w:bCs/>
                <w:color w:val="000000"/>
                <w:kern w:val="0"/>
                <w:sz w:val="22"/>
                <w:szCs w:val="22"/>
                <w:lang w:val="en-US" w:eastAsia="zh-CN" w:bidi="ar"/>
              </w:rPr>
              <w:t>备注</w:t>
            </w:r>
          </w:p>
        </w:tc>
      </w:tr>
      <w:tr w14:paraId="092B5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shd w:val="clear" w:color="auto" w:fill="auto"/>
            <w:vAlign w:val="center"/>
          </w:tcPr>
          <w:p w14:paraId="135A3FDC">
            <w:pPr>
              <w:keepNext w:val="0"/>
              <w:keepLines w:val="0"/>
              <w:widowControl/>
              <w:suppressLineNumbers w:val="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电源电压</w:t>
            </w:r>
          </w:p>
        </w:tc>
        <w:tc>
          <w:tcPr>
            <w:tcW w:w="4600" w:type="dxa"/>
            <w:shd w:val="clear" w:color="auto" w:fill="auto"/>
            <w:vAlign w:val="center"/>
          </w:tcPr>
          <w:p w14:paraId="7B3D69D7">
            <w:pPr>
              <w:keepNext w:val="0"/>
              <w:keepLines w:val="0"/>
              <w:widowControl/>
              <w:suppressLineNumbers w:val="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AC 380V 50Hz；</w:t>
            </w:r>
          </w:p>
        </w:tc>
        <w:tc>
          <w:tcPr>
            <w:tcW w:w="1187" w:type="dxa"/>
            <w:vAlign w:val="center"/>
          </w:tcPr>
          <w:p w14:paraId="06070E2E">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15241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7201F0D9">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总功率</w:t>
            </w:r>
          </w:p>
        </w:tc>
        <w:tc>
          <w:tcPr>
            <w:tcW w:w="4600" w:type="dxa"/>
            <w:vAlign w:val="center"/>
          </w:tcPr>
          <w:p w14:paraId="087231A1">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6</w:t>
            </w:r>
            <w:r>
              <w:rPr>
                <w:rFonts w:hint="eastAsia" w:ascii="Times New Roman" w:hAnsi="Times New Roman" w:eastAsia="宋体" w:cs="Times New Roman"/>
                <w:color w:val="auto"/>
                <w:kern w:val="0"/>
                <w:sz w:val="21"/>
                <w:szCs w:val="21"/>
                <w:lang w:val="en-US" w:eastAsia="zh-CN" w:bidi="ar"/>
              </w:rPr>
              <w:t>~7</w:t>
            </w:r>
            <w:r>
              <w:rPr>
                <w:rFonts w:hint="default" w:ascii="Times New Roman" w:hAnsi="Times New Roman" w:eastAsia="宋体" w:cs="Times New Roman"/>
                <w:color w:val="auto"/>
                <w:kern w:val="0"/>
                <w:sz w:val="21"/>
                <w:szCs w:val="21"/>
                <w:lang w:val="en-US" w:eastAsia="zh-CN" w:bidi="ar"/>
              </w:rPr>
              <w:t>KW</w:t>
            </w:r>
          </w:p>
        </w:tc>
        <w:tc>
          <w:tcPr>
            <w:tcW w:w="1187" w:type="dxa"/>
            <w:vAlign w:val="center"/>
          </w:tcPr>
          <w:p w14:paraId="3DD260E4">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4930C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7C168707">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切削主轴功率</w:t>
            </w:r>
          </w:p>
        </w:tc>
        <w:tc>
          <w:tcPr>
            <w:tcW w:w="4600" w:type="dxa"/>
            <w:vAlign w:val="center"/>
          </w:tcPr>
          <w:p w14:paraId="3CFDB13F">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2</w:t>
            </w:r>
            <w:r>
              <w:rPr>
                <w:rFonts w:hint="default" w:ascii="Arial" w:hAnsi="Arial" w:eastAsia="宋体" w:cs="Arial"/>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3KW</w:t>
            </w:r>
          </w:p>
        </w:tc>
        <w:tc>
          <w:tcPr>
            <w:tcW w:w="1187" w:type="dxa"/>
            <w:vAlign w:val="center"/>
          </w:tcPr>
          <w:p w14:paraId="1038774E">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75890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41D6BC68">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行走电机功率</w:t>
            </w:r>
          </w:p>
        </w:tc>
        <w:tc>
          <w:tcPr>
            <w:tcW w:w="4600" w:type="dxa"/>
            <w:vAlign w:val="center"/>
          </w:tcPr>
          <w:p w14:paraId="64C96DE2">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0.4KW</w:t>
            </w:r>
          </w:p>
        </w:tc>
        <w:tc>
          <w:tcPr>
            <w:tcW w:w="1187" w:type="dxa"/>
            <w:vAlign w:val="center"/>
          </w:tcPr>
          <w:p w14:paraId="3F4F4EB3">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16677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5FE35C40">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切削速度</w:t>
            </w:r>
          </w:p>
        </w:tc>
        <w:tc>
          <w:tcPr>
            <w:tcW w:w="4600" w:type="dxa"/>
            <w:vAlign w:val="center"/>
          </w:tcPr>
          <w:p w14:paraId="355A7C99">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0-1500mm/min（无极调速）</w:t>
            </w:r>
          </w:p>
        </w:tc>
        <w:tc>
          <w:tcPr>
            <w:tcW w:w="1187" w:type="dxa"/>
            <w:vAlign w:val="center"/>
          </w:tcPr>
          <w:p w14:paraId="62CB41DB">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3B5AF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08B09A2E">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主轴转速</w:t>
            </w:r>
          </w:p>
        </w:tc>
        <w:tc>
          <w:tcPr>
            <w:tcW w:w="4600" w:type="dxa"/>
            <w:vAlign w:val="center"/>
          </w:tcPr>
          <w:p w14:paraId="527F5A79">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750-1050r/min（无极调速）</w:t>
            </w:r>
          </w:p>
        </w:tc>
        <w:tc>
          <w:tcPr>
            <w:tcW w:w="1187" w:type="dxa"/>
            <w:vAlign w:val="center"/>
          </w:tcPr>
          <w:p w14:paraId="0B027EE7">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3F2B2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389BE345">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坡口宽度</w:t>
            </w:r>
          </w:p>
        </w:tc>
        <w:tc>
          <w:tcPr>
            <w:tcW w:w="4600" w:type="dxa"/>
            <w:vAlign w:val="center"/>
          </w:tcPr>
          <w:p w14:paraId="556D8E46">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0-100mm（根据角度变化）</w:t>
            </w:r>
          </w:p>
        </w:tc>
        <w:tc>
          <w:tcPr>
            <w:tcW w:w="1187" w:type="dxa"/>
            <w:vAlign w:val="center"/>
          </w:tcPr>
          <w:p w14:paraId="50C530C8">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73A61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33F2CCE1">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单次坡面宽度</w:t>
            </w:r>
          </w:p>
        </w:tc>
        <w:tc>
          <w:tcPr>
            <w:tcW w:w="4600" w:type="dxa"/>
            <w:vAlign w:val="center"/>
          </w:tcPr>
          <w:p w14:paraId="4FB7C75A">
            <w:pPr>
              <w:keepNext w:val="0"/>
              <w:keepLines w:val="0"/>
              <w:widowControl/>
              <w:suppressLineNumbers w:val="0"/>
              <w:jc w:val="center"/>
              <w:rPr>
                <w:rFonts w:hint="default" w:ascii="Times New Roman" w:hAnsi="Times New Roman" w:eastAsia="宋体" w:cs="Times New Roman"/>
                <w:color w:val="auto"/>
                <w:sz w:val="21"/>
                <w:szCs w:val="21"/>
              </w:rPr>
            </w:pPr>
            <w:bookmarkStart w:id="2" w:name="_GoBack"/>
            <w:bookmarkEnd w:id="2"/>
            <w:r>
              <w:rPr>
                <w:rFonts w:hint="default" w:ascii="Times New Roman" w:hAnsi="Times New Roman" w:eastAsia="宋体" w:cs="Times New Roman"/>
                <w:color w:val="auto"/>
                <w:kern w:val="0"/>
                <w:sz w:val="21"/>
                <w:szCs w:val="21"/>
                <w:lang w:val="en-US" w:eastAsia="zh-CN" w:bidi="ar"/>
              </w:rPr>
              <w:t>0~30mm（根据角度和材料变化）；</w:t>
            </w:r>
          </w:p>
        </w:tc>
        <w:tc>
          <w:tcPr>
            <w:tcW w:w="1187" w:type="dxa"/>
            <w:vAlign w:val="center"/>
          </w:tcPr>
          <w:p w14:paraId="3F62D32D">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30524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582E2266">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坡口角度</w:t>
            </w:r>
          </w:p>
        </w:tc>
        <w:tc>
          <w:tcPr>
            <w:tcW w:w="4600" w:type="dxa"/>
            <w:vAlign w:val="center"/>
          </w:tcPr>
          <w:p w14:paraId="64845831">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0°-90°（任意调节）；</w:t>
            </w:r>
          </w:p>
        </w:tc>
        <w:tc>
          <w:tcPr>
            <w:tcW w:w="1187" w:type="dxa"/>
            <w:vAlign w:val="center"/>
          </w:tcPr>
          <w:p w14:paraId="6CFB13E0">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23FC2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523EF9A3">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夹持厚度</w:t>
            </w:r>
          </w:p>
        </w:tc>
        <w:tc>
          <w:tcPr>
            <w:tcW w:w="4600" w:type="dxa"/>
            <w:vAlign w:val="center"/>
          </w:tcPr>
          <w:p w14:paraId="6D35A7CE">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8~100mm；</w:t>
            </w:r>
          </w:p>
        </w:tc>
        <w:tc>
          <w:tcPr>
            <w:tcW w:w="1187" w:type="dxa"/>
            <w:vAlign w:val="center"/>
          </w:tcPr>
          <w:p w14:paraId="4DB301D5">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2DB85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40D3D478">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夹持宽度</w:t>
            </w:r>
          </w:p>
        </w:tc>
        <w:tc>
          <w:tcPr>
            <w:tcW w:w="4600" w:type="dxa"/>
            <w:vAlign w:val="center"/>
          </w:tcPr>
          <w:p w14:paraId="048DA69C">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100mm（非加工边）</w:t>
            </w:r>
          </w:p>
        </w:tc>
        <w:tc>
          <w:tcPr>
            <w:tcW w:w="1187" w:type="dxa"/>
            <w:vAlign w:val="center"/>
          </w:tcPr>
          <w:p w14:paraId="429E4CFA">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2FE12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388BB612">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加工板长</w:t>
            </w:r>
          </w:p>
        </w:tc>
        <w:tc>
          <w:tcPr>
            <w:tcW w:w="4600" w:type="dxa"/>
            <w:vAlign w:val="center"/>
          </w:tcPr>
          <w:p w14:paraId="48CF4C4B">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&gt;300mm（加工边）</w:t>
            </w:r>
          </w:p>
        </w:tc>
        <w:tc>
          <w:tcPr>
            <w:tcW w:w="1187" w:type="dxa"/>
            <w:vAlign w:val="center"/>
          </w:tcPr>
          <w:p w14:paraId="19236C56">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3243B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7F171566">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工作台高度</w:t>
            </w:r>
          </w:p>
        </w:tc>
        <w:tc>
          <w:tcPr>
            <w:tcW w:w="4600" w:type="dxa"/>
            <w:vAlign w:val="center"/>
          </w:tcPr>
          <w:p w14:paraId="02E49D3C">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770~870mm</w:t>
            </w:r>
          </w:p>
        </w:tc>
        <w:tc>
          <w:tcPr>
            <w:tcW w:w="1187" w:type="dxa"/>
            <w:vAlign w:val="center"/>
          </w:tcPr>
          <w:p w14:paraId="12E6B3C5">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4AE10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53C770CD">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工作空间</w:t>
            </w:r>
          </w:p>
        </w:tc>
        <w:tc>
          <w:tcPr>
            <w:tcW w:w="4600" w:type="dxa"/>
            <w:vAlign w:val="center"/>
          </w:tcPr>
          <w:p w14:paraId="6F54C7D7">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1200*1200mm</w:t>
            </w:r>
          </w:p>
        </w:tc>
        <w:tc>
          <w:tcPr>
            <w:tcW w:w="1187" w:type="dxa"/>
            <w:vAlign w:val="center"/>
          </w:tcPr>
          <w:p w14:paraId="10D02D57">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4BDC5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21FF52CA">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加工坡口</w:t>
            </w:r>
          </w:p>
        </w:tc>
        <w:tc>
          <w:tcPr>
            <w:tcW w:w="4600" w:type="dxa"/>
            <w:vAlign w:val="center"/>
          </w:tcPr>
          <w:p w14:paraId="38FE03A9">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V/Y 型、U 型、0°、L 型、过渡坡口</w:t>
            </w:r>
          </w:p>
        </w:tc>
        <w:tc>
          <w:tcPr>
            <w:tcW w:w="1187" w:type="dxa"/>
            <w:vAlign w:val="center"/>
          </w:tcPr>
          <w:p w14:paraId="36796C7C">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0EB4C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2C78A243">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加工材质</w:t>
            </w:r>
          </w:p>
        </w:tc>
        <w:tc>
          <w:tcPr>
            <w:tcW w:w="4600" w:type="dxa"/>
            <w:vAlign w:val="center"/>
          </w:tcPr>
          <w:p w14:paraId="19E3BB8D">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bidi="ar"/>
              </w:rPr>
              <w:t>铝合金、碳钢、铜、不锈钢等</w:t>
            </w:r>
          </w:p>
        </w:tc>
        <w:tc>
          <w:tcPr>
            <w:tcW w:w="1187" w:type="dxa"/>
            <w:vAlign w:val="center"/>
          </w:tcPr>
          <w:p w14:paraId="3E1C9ED7">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74555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905" w:type="dxa"/>
            <w:vAlign w:val="center"/>
          </w:tcPr>
          <w:p w14:paraId="553960E6">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整机净重</w:t>
            </w:r>
          </w:p>
        </w:tc>
        <w:tc>
          <w:tcPr>
            <w:tcW w:w="4600" w:type="dxa"/>
            <w:vAlign w:val="center"/>
          </w:tcPr>
          <w:p w14:paraId="32B8D6FA">
            <w:pPr>
              <w:keepNext w:val="0"/>
              <w:keepLines w:val="0"/>
              <w:widowControl/>
              <w:suppressLineNumbers w:val="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kern w:val="0"/>
                <w:sz w:val="21"/>
                <w:szCs w:val="21"/>
                <w:lang w:val="en-US" w:eastAsia="zh-CN" w:bidi="ar"/>
              </w:rPr>
              <w:t>400~50</w:t>
            </w:r>
            <w:r>
              <w:rPr>
                <w:rFonts w:hint="default" w:ascii="Times New Roman" w:hAnsi="Times New Roman" w:eastAsia="宋体" w:cs="Times New Roman"/>
                <w:color w:val="auto"/>
                <w:kern w:val="0"/>
                <w:sz w:val="21"/>
                <w:szCs w:val="21"/>
                <w:lang w:val="en-US" w:eastAsia="zh-CN" w:bidi="ar"/>
              </w:rPr>
              <w:t>0kg.</w:t>
            </w:r>
          </w:p>
        </w:tc>
        <w:tc>
          <w:tcPr>
            <w:tcW w:w="1187" w:type="dxa"/>
            <w:vAlign w:val="center"/>
          </w:tcPr>
          <w:p w14:paraId="0BFC5D4F">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bl>
    <w:p w14:paraId="1BC8F0FE">
      <w:pPr>
        <w:widowControl w:val="0"/>
        <w:numPr>
          <w:ilvl w:val="0"/>
          <w:numId w:val="0"/>
        </w:numPr>
        <w:spacing w:line="360" w:lineRule="auto"/>
        <w:jc w:val="both"/>
        <w:rPr>
          <w:rFonts w:hint="default" w:ascii="Times New Roman" w:hAnsi="Times New Roman" w:eastAsia="宋体" w:cs="Times New Roman"/>
          <w:b/>
          <w:bCs/>
          <w:spacing w:val="1"/>
          <w:sz w:val="24"/>
          <w:szCs w:val="24"/>
          <w:lang w:val="en-US" w:eastAsia="zh-CN"/>
        </w:rPr>
      </w:pPr>
    </w:p>
    <w:p w14:paraId="4C0EC113">
      <w:pPr>
        <w:pStyle w:val="9"/>
        <w:numPr>
          <w:ilvl w:val="0"/>
          <w:numId w:val="3"/>
        </w:numPr>
        <w:spacing w:before="239" w:line="360" w:lineRule="auto"/>
        <w:outlineLvl w:val="9"/>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spacing w:val="-3"/>
          <w:sz w:val="24"/>
          <w:szCs w:val="24"/>
          <w:lang w:eastAsia="zh-CN"/>
        </w:rPr>
        <w:t>主要技术要求</w:t>
      </w:r>
    </w:p>
    <w:p w14:paraId="23833FB3">
      <w:pPr>
        <w:numPr>
          <w:ilvl w:val="0"/>
          <w:numId w:val="4"/>
        </w:numPr>
        <w:spacing w:before="184" w:line="219" w:lineRule="auto"/>
        <w:ind w:left="556"/>
        <w:rPr>
          <w:rFonts w:hint="eastAsia" w:ascii="宋体" w:hAnsi="宋体" w:eastAsia="宋体" w:cs="宋体"/>
          <w:spacing w:val="-1"/>
          <w:sz w:val="24"/>
          <w:szCs w:val="24"/>
          <w:lang w:eastAsia="zh-CN"/>
        </w:rPr>
      </w:pPr>
      <w:r>
        <w:rPr>
          <w:rFonts w:hint="eastAsia" w:ascii="宋体" w:hAnsi="宋体" w:eastAsia="宋体" w:cs="宋体"/>
          <w:spacing w:val="-1"/>
          <w:sz w:val="24"/>
          <w:szCs w:val="24"/>
        </w:rPr>
        <w:t>适用材料：不锈钢、碳钢、合金钢、高强度高耐热性工件等</w:t>
      </w:r>
      <w:r>
        <w:rPr>
          <w:rFonts w:hint="eastAsia" w:ascii="宋体" w:hAnsi="宋体" w:eastAsia="宋体" w:cs="宋体"/>
          <w:spacing w:val="-1"/>
          <w:sz w:val="24"/>
          <w:szCs w:val="24"/>
          <w:lang w:eastAsia="zh-CN"/>
        </w:rPr>
        <w:t>；</w:t>
      </w:r>
    </w:p>
    <w:p w14:paraId="66ACC63C">
      <w:pPr>
        <w:numPr>
          <w:ilvl w:val="0"/>
          <w:numId w:val="4"/>
        </w:numPr>
        <w:spacing w:before="184" w:line="219" w:lineRule="auto"/>
        <w:ind w:left="556"/>
        <w:rPr>
          <w:rFonts w:ascii="宋体" w:hAnsi="宋体" w:eastAsia="宋体" w:cs="宋体"/>
          <w:sz w:val="24"/>
          <w:szCs w:val="24"/>
        </w:rPr>
      </w:pPr>
      <w:r>
        <w:rPr>
          <w:rFonts w:hint="eastAsia" w:ascii="宋体" w:hAnsi="宋体" w:eastAsia="宋体" w:cs="宋体"/>
          <w:spacing w:val="-1"/>
          <w:sz w:val="24"/>
          <w:szCs w:val="24"/>
        </w:rPr>
        <w:t>适用领域：</w:t>
      </w:r>
      <w:r>
        <w:rPr>
          <w:rFonts w:hint="eastAsia" w:ascii="宋体" w:hAnsi="宋体" w:eastAsia="宋体" w:cs="宋体"/>
          <w:spacing w:val="-1"/>
          <w:sz w:val="24"/>
          <w:szCs w:val="24"/>
          <w:lang w:eastAsia="zh-CN"/>
        </w:rPr>
        <w:t>结构件高强板等坡口加工；</w:t>
      </w:r>
    </w:p>
    <w:p w14:paraId="76DD53A9">
      <w:pPr>
        <w:numPr>
          <w:ilvl w:val="0"/>
          <w:numId w:val="4"/>
        </w:numPr>
        <w:spacing w:before="184" w:line="219" w:lineRule="auto"/>
        <w:ind w:left="556"/>
        <w:rPr>
          <w:rFonts w:ascii="宋体" w:hAnsi="宋体" w:eastAsia="宋体" w:cs="宋体"/>
          <w:sz w:val="24"/>
          <w:szCs w:val="24"/>
        </w:rPr>
      </w:pPr>
      <w:r>
        <w:rPr>
          <w:rFonts w:hint="eastAsia" w:ascii="宋体" w:hAnsi="宋体" w:eastAsia="宋体" w:cs="宋体"/>
          <w:spacing w:val="-1"/>
          <w:sz w:val="24"/>
          <w:szCs w:val="24"/>
          <w:lang w:eastAsia="zh-CN"/>
        </w:rPr>
        <w:t>要求：加工后</w:t>
      </w:r>
      <w:r>
        <w:rPr>
          <w:rFonts w:hint="eastAsia" w:ascii="宋体" w:hAnsi="宋体" w:eastAsia="宋体" w:cs="宋体"/>
          <w:spacing w:val="-1"/>
          <w:sz w:val="24"/>
          <w:szCs w:val="24"/>
        </w:rPr>
        <w:t>冷切割无变形，坡面光滑无氧化；</w:t>
      </w:r>
    </w:p>
    <w:p w14:paraId="55CC414C">
      <w:pPr>
        <w:numPr>
          <w:ilvl w:val="0"/>
          <w:numId w:val="4"/>
        </w:numPr>
        <w:spacing w:before="184" w:line="219" w:lineRule="auto"/>
        <w:ind w:left="556"/>
        <w:rPr>
          <w:rFonts w:ascii="宋体" w:hAnsi="宋体" w:eastAsia="宋体" w:cs="宋体"/>
          <w:sz w:val="24"/>
          <w:szCs w:val="24"/>
        </w:rPr>
      </w:pPr>
      <w:r>
        <w:rPr>
          <w:rFonts w:hint="eastAsia" w:ascii="宋体" w:hAnsi="宋体" w:eastAsia="宋体" w:cs="宋体"/>
          <w:spacing w:val="-1"/>
          <w:sz w:val="24"/>
          <w:szCs w:val="24"/>
          <w:lang w:eastAsia="zh-CN"/>
        </w:rPr>
        <w:t>所加工坡口</w:t>
      </w:r>
      <w:r>
        <w:rPr>
          <w:rFonts w:hint="eastAsia" w:ascii="宋体" w:hAnsi="宋体" w:eastAsia="宋体" w:cs="宋体"/>
          <w:spacing w:val="-1"/>
          <w:sz w:val="24"/>
          <w:szCs w:val="24"/>
        </w:rPr>
        <w:t>角度与速度调节灵活；</w:t>
      </w:r>
    </w:p>
    <w:p w14:paraId="226DD949">
      <w:pPr>
        <w:numPr>
          <w:ilvl w:val="0"/>
          <w:numId w:val="4"/>
        </w:numPr>
        <w:spacing w:before="184" w:line="219" w:lineRule="auto"/>
        <w:ind w:left="556"/>
        <w:rPr>
          <w:rFonts w:ascii="宋体" w:hAnsi="宋体" w:eastAsia="宋体" w:cs="宋体"/>
          <w:sz w:val="24"/>
          <w:szCs w:val="24"/>
        </w:rPr>
      </w:pPr>
      <w:r>
        <w:rPr>
          <w:rFonts w:hint="eastAsia" w:ascii="宋体" w:hAnsi="宋体" w:eastAsia="宋体" w:cs="宋体"/>
          <w:spacing w:val="-1"/>
          <w:sz w:val="24"/>
          <w:szCs w:val="24"/>
        </w:rPr>
        <w:t>操作安全，配备多重保护装置</w:t>
      </w:r>
      <w:r>
        <w:rPr>
          <w:rFonts w:hint="eastAsia" w:ascii="宋体" w:hAnsi="宋体" w:eastAsia="宋体" w:cs="宋体"/>
          <w:spacing w:val="-1"/>
          <w:sz w:val="24"/>
          <w:szCs w:val="24"/>
          <w:lang w:eastAsia="zh-CN"/>
        </w:rPr>
        <w:t>。</w:t>
      </w:r>
    </w:p>
    <w:p w14:paraId="0E74EC69">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p>
    <w:p w14:paraId="49BBF23C">
      <w:pPr>
        <w:widowControl w:val="0"/>
        <w:numPr>
          <w:ilvl w:val="0"/>
          <w:numId w:val="3"/>
        </w:numPr>
        <w:kinsoku/>
        <w:autoSpaceDE/>
        <w:autoSpaceDN/>
        <w:adjustRightInd/>
        <w:snapToGrid/>
        <w:spacing w:line="360" w:lineRule="auto"/>
        <w:ind w:left="0" w:leftChars="0" w:firstLine="0" w:firstLineChars="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
          <w:bCs w:val="0"/>
          <w:spacing w:val="-3"/>
          <w:sz w:val="24"/>
          <w:szCs w:val="24"/>
          <w:lang w:eastAsia="zh-CN"/>
        </w:rPr>
        <w:t>采</w:t>
      </w:r>
      <w:r>
        <w:rPr>
          <w:rFonts w:hint="default" w:ascii="Times New Roman" w:hAnsi="Times New Roman" w:eastAsia="宋体" w:cs="Times New Roman"/>
          <w:b/>
          <w:bCs/>
          <w:spacing w:val="-3"/>
          <w:sz w:val="24"/>
          <w:szCs w:val="24"/>
          <w:lang w:eastAsia="zh-CN"/>
        </w:rPr>
        <w:t>用的主要技术标准规范：</w:t>
      </w:r>
      <w:r>
        <w:rPr>
          <w:rFonts w:hint="eastAsia" w:ascii="Times New Roman" w:hAnsi="Times New Roman" w:eastAsia="宋体" w:cs="Times New Roman"/>
          <w:bCs/>
          <w:snapToGrid/>
          <w:kern w:val="2"/>
          <w:sz w:val="24"/>
          <w:szCs w:val="24"/>
          <w:lang w:val="en-US" w:eastAsia="zh-CN"/>
        </w:rPr>
        <w:t>符合</w:t>
      </w:r>
      <w:r>
        <w:rPr>
          <w:rFonts w:hint="default" w:ascii="Times New Roman" w:hAnsi="Times New Roman" w:eastAsia="宋体" w:cs="Times New Roman"/>
          <w:bCs/>
          <w:snapToGrid/>
          <w:kern w:val="2"/>
          <w:sz w:val="24"/>
          <w:szCs w:val="24"/>
          <w:lang w:val="en-US" w:eastAsia="zh-CN"/>
        </w:rPr>
        <w:t>CE标准</w:t>
      </w:r>
    </w:p>
    <w:p w14:paraId="5609B1CB">
      <w:pPr>
        <w:pStyle w:val="9"/>
        <w:spacing w:before="245" w:line="360" w:lineRule="auto"/>
        <w:outlineLvl w:val="9"/>
        <w:rPr>
          <w:rFonts w:hint="default" w:ascii="Times New Roman" w:hAnsi="Times New Roman" w:eastAsia="宋体" w:cs="Times New Roman"/>
          <w:b/>
          <w:bCs/>
          <w:color w:val="auto"/>
          <w:sz w:val="24"/>
          <w:szCs w:val="24"/>
          <w:lang w:val="en-US"/>
        </w:rPr>
      </w:pPr>
      <w:r>
        <w:rPr>
          <w:rFonts w:hint="default" w:ascii="Times New Roman" w:hAnsi="Times New Roman" w:eastAsia="宋体" w:cs="Times New Roman"/>
          <w:b/>
          <w:bCs/>
          <w:color w:val="auto"/>
          <w:spacing w:val="4"/>
          <w:sz w:val="24"/>
          <w:szCs w:val="24"/>
          <w:lang w:val="en-US" w:eastAsia="zh-CN"/>
        </w:rPr>
        <w:t>八</w:t>
      </w:r>
      <w:r>
        <w:rPr>
          <w:rFonts w:hint="default" w:ascii="Times New Roman" w:hAnsi="Times New Roman" w:eastAsia="宋体" w:cs="Times New Roman"/>
          <w:b/>
          <w:bCs/>
          <w:color w:val="auto"/>
          <w:spacing w:val="4"/>
          <w:sz w:val="24"/>
          <w:szCs w:val="24"/>
        </w:rPr>
        <w:t>、</w:t>
      </w:r>
      <w:r>
        <w:rPr>
          <w:rFonts w:hint="default" w:ascii="Times New Roman" w:hAnsi="Times New Roman" w:eastAsia="宋体" w:cs="Times New Roman"/>
          <w:b/>
          <w:bCs/>
          <w:color w:val="auto"/>
          <w:spacing w:val="4"/>
          <w:sz w:val="24"/>
          <w:szCs w:val="24"/>
          <w:lang w:val="en-US" w:eastAsia="zh-CN"/>
        </w:rPr>
        <w:t>供货要求</w:t>
      </w:r>
    </w:p>
    <w:p w14:paraId="5E261552">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1、需方提出的是最低限度的技术要求，投标厂家提供的设备必须满足所有技术参数要求，并对产品技术性能负责。</w:t>
      </w:r>
    </w:p>
    <w:p w14:paraId="5E7A35CE">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2、供方必须保证其产品是经过实际使用验证且安全可靠的，应提供投标产品的业绩合同及对应发票。</w:t>
      </w:r>
    </w:p>
    <w:p w14:paraId="520AC468">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3、投标方应满足本技术规格书的所有要求，并与需方技术主管部门进行充分技术沟通，结合实际工况共同确定相关定制件的具体要求，以确保投标产品的及时供货和正常使用。</w:t>
      </w:r>
    </w:p>
    <w:p w14:paraId="64E668FE">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4、投标方按规定要求提供产品合格证，产品说明书和安装、操作、维护培训手册。</w:t>
      </w:r>
    </w:p>
    <w:p w14:paraId="7619BBE5">
      <w:pPr>
        <w:pStyle w:val="9"/>
        <w:spacing w:before="50" w:line="360" w:lineRule="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pacing w:val="4"/>
          <w:sz w:val="24"/>
          <w:szCs w:val="24"/>
          <w:lang w:val="en-US" w:eastAsia="zh-CN"/>
        </w:rPr>
        <w:t>九</w:t>
      </w:r>
      <w:r>
        <w:rPr>
          <w:rFonts w:hint="default" w:ascii="Times New Roman" w:hAnsi="Times New Roman" w:eastAsia="宋体" w:cs="Times New Roman"/>
          <w:b/>
          <w:bCs/>
          <w:color w:val="auto"/>
          <w:spacing w:val="4"/>
          <w:sz w:val="24"/>
          <w:szCs w:val="24"/>
        </w:rPr>
        <w:t>、质保期及售后服务</w:t>
      </w:r>
    </w:p>
    <w:p w14:paraId="2136520C">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1、质保期为货到安装调试验收合格后1年。</w:t>
      </w:r>
    </w:p>
    <w:p w14:paraId="6C80BBEB">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服务。</w:t>
      </w:r>
    </w:p>
    <w:p w14:paraId="5FCA6B92">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3、中标方负责技术培训，培训内容包括产品结构及维护、操作，培训在现场实际进行。通过培训，操作人员能掌握有关操作和维修养护技能，及时处理各种故障。</w:t>
      </w:r>
    </w:p>
    <w:p w14:paraId="329B2FA3">
      <w:pPr>
        <w:bidi w:val="0"/>
        <w:rPr>
          <w:rFonts w:hint="default" w:ascii="Times New Roman" w:hAnsi="Times New Roman" w:cs="Times New Roman"/>
          <w:lang w:val="en-US" w:eastAsia="zh-CN"/>
        </w:rPr>
      </w:pPr>
      <w:r>
        <w:rPr>
          <w:rFonts w:hint="default" w:ascii="Times New Roman" w:hAnsi="Times New Roman" w:eastAsia="宋体" w:cs="Times New Roman"/>
          <w:bCs/>
          <w:snapToGrid/>
          <w:color w:val="auto"/>
          <w:kern w:val="2"/>
          <w:sz w:val="24"/>
          <w:szCs w:val="24"/>
          <w:lang w:val="en-US" w:eastAsia="zh-CN"/>
        </w:rPr>
        <w:t>4、中标单位应提供规范、标准、可靠的售后服务体系。</w:t>
      </w:r>
      <w:bookmarkEnd w:id="1"/>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70D6CD7-4E40-4DF2-A59D-03A9DD95F5FD}"/>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EFF19EA0-D06B-4AE9-A27E-0FCD3432B806}"/>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华文宋体">
    <w:altName w:val="宋体"/>
    <w:panose1 w:val="02010600040101010101"/>
    <w:charset w:val="86"/>
    <w:family w:val="auto"/>
    <w:pitch w:val="default"/>
    <w:sig w:usb0="00000000" w:usb1="0000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panose1 w:val="02010600010101010101"/>
    <w:charset w:val="86"/>
    <w:family w:val="auto"/>
    <w:pitch w:val="default"/>
    <w:sig w:usb0="00000001" w:usb1="080E0000" w:usb2="00000000" w:usb3="00000000" w:csb0="00040000" w:csb1="00000000"/>
    <w:embedRegular r:id="rId3" w:fontKey="{51ED06E9-1AF5-49BB-8108-00B25AD331E9}"/>
  </w:font>
  <w:font w:name="新宋体">
    <w:panose1 w:val="02010609030101010101"/>
    <w:charset w:val="86"/>
    <w:family w:val="modern"/>
    <w:pitch w:val="default"/>
    <w:sig w:usb0="00000283" w:usb1="288F0000" w:usb2="00000006" w:usb3="00000000" w:csb0="00040001" w:csb1="00000000"/>
    <w:embedRegular r:id="rId4" w:fontKey="{5A9B58B3-4260-44F7-8FA0-33C81828A05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B0F9F">
    <w:pPr>
      <w:pStyle w:val="16"/>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D6C5525">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2D6C5525">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331C4F">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F2F97"/>
    <w:multiLevelType w:val="singleLevel"/>
    <w:tmpl w:val="83FF2F97"/>
    <w:lvl w:ilvl="0" w:tentative="0">
      <w:start w:val="5"/>
      <w:numFmt w:val="chineseCounting"/>
      <w:suff w:val="nothing"/>
      <w:lvlText w:val="%1、"/>
      <w:lvlJc w:val="left"/>
      <w:rPr>
        <w:rFonts w:hint="eastAsia"/>
      </w:rPr>
    </w:lvl>
  </w:abstractNum>
  <w:abstractNum w:abstractNumId="1">
    <w:nsid w:val="AE5B9260"/>
    <w:multiLevelType w:val="singleLevel"/>
    <w:tmpl w:val="AE5B9260"/>
    <w:lvl w:ilvl="0" w:tentative="0">
      <w:start w:val="6"/>
      <w:numFmt w:val="chineseCounting"/>
      <w:suff w:val="nothing"/>
      <w:lvlText w:val="%1、"/>
      <w:lvlJc w:val="left"/>
      <w:rPr>
        <w:rFonts w:hint="eastAsia"/>
        <w:b/>
        <w:bCs/>
      </w:rPr>
    </w:lvl>
  </w:abstractNum>
  <w:abstractNum w:abstractNumId="2">
    <w:nsid w:val="CF6EE53C"/>
    <w:multiLevelType w:val="singleLevel"/>
    <w:tmpl w:val="CF6EE53C"/>
    <w:lvl w:ilvl="0" w:tentative="0">
      <w:start w:val="5"/>
      <w:numFmt w:val="decimal"/>
      <w:pStyle w:val="2"/>
      <w:suff w:val="nothing"/>
      <w:lvlText w:val="%1、"/>
      <w:lvlJc w:val="left"/>
      <w:pPr>
        <w:ind w:left="-60"/>
      </w:pPr>
    </w:lvl>
  </w:abstractNum>
  <w:abstractNum w:abstractNumId="3">
    <w:nsid w:val="382FC1E4"/>
    <w:multiLevelType w:val="singleLevel"/>
    <w:tmpl w:val="382FC1E4"/>
    <w:lvl w:ilvl="0" w:tentative="0">
      <w:start w:val="1"/>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D4A"/>
    <w:rsid w:val="0000528F"/>
    <w:rsid w:val="00025D9C"/>
    <w:rsid w:val="000E6D8D"/>
    <w:rsid w:val="000F1570"/>
    <w:rsid w:val="00150BD2"/>
    <w:rsid w:val="00165E5B"/>
    <w:rsid w:val="00195B07"/>
    <w:rsid w:val="001C2748"/>
    <w:rsid w:val="001F17A7"/>
    <w:rsid w:val="00204898"/>
    <w:rsid w:val="002B752F"/>
    <w:rsid w:val="0032110C"/>
    <w:rsid w:val="00335D62"/>
    <w:rsid w:val="003A788C"/>
    <w:rsid w:val="003B13F7"/>
    <w:rsid w:val="00532404"/>
    <w:rsid w:val="00536497"/>
    <w:rsid w:val="00731A5D"/>
    <w:rsid w:val="0079465D"/>
    <w:rsid w:val="008027E0"/>
    <w:rsid w:val="0090726C"/>
    <w:rsid w:val="0095195A"/>
    <w:rsid w:val="00B17D4A"/>
    <w:rsid w:val="00B36ABF"/>
    <w:rsid w:val="00BC275D"/>
    <w:rsid w:val="00C76D2B"/>
    <w:rsid w:val="00CD385D"/>
    <w:rsid w:val="00D12DD5"/>
    <w:rsid w:val="00D363F5"/>
    <w:rsid w:val="00E627C7"/>
    <w:rsid w:val="00E7569F"/>
    <w:rsid w:val="00E869CF"/>
    <w:rsid w:val="00E93645"/>
    <w:rsid w:val="00EC42D8"/>
    <w:rsid w:val="00EC7741"/>
    <w:rsid w:val="00F16E49"/>
    <w:rsid w:val="01022F1A"/>
    <w:rsid w:val="016D6001"/>
    <w:rsid w:val="017C0188"/>
    <w:rsid w:val="018F1E03"/>
    <w:rsid w:val="01AD5531"/>
    <w:rsid w:val="02254938"/>
    <w:rsid w:val="0255557E"/>
    <w:rsid w:val="02854A2E"/>
    <w:rsid w:val="02A76009"/>
    <w:rsid w:val="02B536C9"/>
    <w:rsid w:val="03C20E66"/>
    <w:rsid w:val="03F01582"/>
    <w:rsid w:val="0404776D"/>
    <w:rsid w:val="042B49B2"/>
    <w:rsid w:val="04DE20C9"/>
    <w:rsid w:val="050F0A70"/>
    <w:rsid w:val="058C4BED"/>
    <w:rsid w:val="05D379E5"/>
    <w:rsid w:val="060F4413"/>
    <w:rsid w:val="063E27C3"/>
    <w:rsid w:val="07572714"/>
    <w:rsid w:val="075C32A7"/>
    <w:rsid w:val="07E770DB"/>
    <w:rsid w:val="083C7334"/>
    <w:rsid w:val="08C045E4"/>
    <w:rsid w:val="08C07DF4"/>
    <w:rsid w:val="092263E9"/>
    <w:rsid w:val="0A3B1F06"/>
    <w:rsid w:val="0AD025A1"/>
    <w:rsid w:val="0AD02615"/>
    <w:rsid w:val="0B1034B5"/>
    <w:rsid w:val="0B277E9A"/>
    <w:rsid w:val="0D246BD4"/>
    <w:rsid w:val="0D7B4906"/>
    <w:rsid w:val="0D850BA9"/>
    <w:rsid w:val="0DE57A47"/>
    <w:rsid w:val="0E511C4A"/>
    <w:rsid w:val="0E8B7C5C"/>
    <w:rsid w:val="0EBD6E1D"/>
    <w:rsid w:val="0EEB3719"/>
    <w:rsid w:val="0F583EB8"/>
    <w:rsid w:val="0F702353"/>
    <w:rsid w:val="0FA933C0"/>
    <w:rsid w:val="0FB8534D"/>
    <w:rsid w:val="10FD58ED"/>
    <w:rsid w:val="11083F5E"/>
    <w:rsid w:val="111F0781"/>
    <w:rsid w:val="112D67B9"/>
    <w:rsid w:val="11411E32"/>
    <w:rsid w:val="1189098B"/>
    <w:rsid w:val="11E340BB"/>
    <w:rsid w:val="11EF7104"/>
    <w:rsid w:val="122F56CB"/>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9292616"/>
    <w:rsid w:val="19292656"/>
    <w:rsid w:val="19311FA1"/>
    <w:rsid w:val="1A1324AA"/>
    <w:rsid w:val="1A383CBF"/>
    <w:rsid w:val="1A8962C8"/>
    <w:rsid w:val="1ABC108F"/>
    <w:rsid w:val="1AD47EA6"/>
    <w:rsid w:val="1B5A4D47"/>
    <w:rsid w:val="1B737D37"/>
    <w:rsid w:val="1C1C5921"/>
    <w:rsid w:val="1CDB62BA"/>
    <w:rsid w:val="1D506197"/>
    <w:rsid w:val="1D573539"/>
    <w:rsid w:val="1D8B128E"/>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BEC06A7"/>
    <w:rsid w:val="2CC936FA"/>
    <w:rsid w:val="2CCC3BB8"/>
    <w:rsid w:val="2D0A14EA"/>
    <w:rsid w:val="2EB67A5C"/>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257395"/>
    <w:rsid w:val="36781B34"/>
    <w:rsid w:val="36802FAC"/>
    <w:rsid w:val="371E51A4"/>
    <w:rsid w:val="37307F92"/>
    <w:rsid w:val="3784006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C3C1263"/>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27C658F"/>
    <w:rsid w:val="43227DC0"/>
    <w:rsid w:val="453A133E"/>
    <w:rsid w:val="45A73653"/>
    <w:rsid w:val="45F528BB"/>
    <w:rsid w:val="46C31195"/>
    <w:rsid w:val="46FA3F26"/>
    <w:rsid w:val="477673C9"/>
    <w:rsid w:val="47E96E38"/>
    <w:rsid w:val="48354C45"/>
    <w:rsid w:val="489C2E10"/>
    <w:rsid w:val="48FA76C3"/>
    <w:rsid w:val="49046EB7"/>
    <w:rsid w:val="4957736F"/>
    <w:rsid w:val="4A332AAF"/>
    <w:rsid w:val="4A450123"/>
    <w:rsid w:val="4BBB0D2E"/>
    <w:rsid w:val="4C430FBA"/>
    <w:rsid w:val="4C860248"/>
    <w:rsid w:val="4C90160C"/>
    <w:rsid w:val="4D3263D0"/>
    <w:rsid w:val="4F0C236D"/>
    <w:rsid w:val="4F30778F"/>
    <w:rsid w:val="4FF41AA3"/>
    <w:rsid w:val="507C62DD"/>
    <w:rsid w:val="50927931"/>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D4690"/>
    <w:rsid w:val="587E2C63"/>
    <w:rsid w:val="58D00F8B"/>
    <w:rsid w:val="59480B21"/>
    <w:rsid w:val="597B3BA6"/>
    <w:rsid w:val="599F731C"/>
    <w:rsid w:val="5A4224FD"/>
    <w:rsid w:val="5B693A9C"/>
    <w:rsid w:val="5BAA3E77"/>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0B156B"/>
    <w:rsid w:val="643C1B3F"/>
    <w:rsid w:val="64B521DC"/>
    <w:rsid w:val="65BD2897"/>
    <w:rsid w:val="660514B3"/>
    <w:rsid w:val="663D307D"/>
    <w:rsid w:val="6644695E"/>
    <w:rsid w:val="67142D4F"/>
    <w:rsid w:val="678B63D5"/>
    <w:rsid w:val="67C33281"/>
    <w:rsid w:val="680447AD"/>
    <w:rsid w:val="683B77BB"/>
    <w:rsid w:val="692F601B"/>
    <w:rsid w:val="6A915DE0"/>
    <w:rsid w:val="6AA24F93"/>
    <w:rsid w:val="6AA82B29"/>
    <w:rsid w:val="6ABA56BF"/>
    <w:rsid w:val="6B173E84"/>
    <w:rsid w:val="6B75380D"/>
    <w:rsid w:val="6BA322FC"/>
    <w:rsid w:val="6BDF334A"/>
    <w:rsid w:val="6C0B6B3A"/>
    <w:rsid w:val="6CE1314C"/>
    <w:rsid w:val="6CFB4134"/>
    <w:rsid w:val="6D942F1B"/>
    <w:rsid w:val="6E010AC0"/>
    <w:rsid w:val="6E83055A"/>
    <w:rsid w:val="6ECA1CB8"/>
    <w:rsid w:val="6F1D55C0"/>
    <w:rsid w:val="6F41041C"/>
    <w:rsid w:val="6F474663"/>
    <w:rsid w:val="6FE22F61"/>
    <w:rsid w:val="701C54CA"/>
    <w:rsid w:val="70223A22"/>
    <w:rsid w:val="705619D7"/>
    <w:rsid w:val="709A224B"/>
    <w:rsid w:val="70F034F0"/>
    <w:rsid w:val="725E7747"/>
    <w:rsid w:val="72C91EDF"/>
    <w:rsid w:val="73096F2E"/>
    <w:rsid w:val="730F5233"/>
    <w:rsid w:val="731E184F"/>
    <w:rsid w:val="739A6341"/>
    <w:rsid w:val="73EA4925"/>
    <w:rsid w:val="742A559B"/>
    <w:rsid w:val="745D56BD"/>
    <w:rsid w:val="75245498"/>
    <w:rsid w:val="7542180B"/>
    <w:rsid w:val="75B84B86"/>
    <w:rsid w:val="75F72090"/>
    <w:rsid w:val="7661307E"/>
    <w:rsid w:val="76B628E0"/>
    <w:rsid w:val="77136AFA"/>
    <w:rsid w:val="77BE6726"/>
    <w:rsid w:val="78490D17"/>
    <w:rsid w:val="7858118F"/>
    <w:rsid w:val="79040CFD"/>
    <w:rsid w:val="7A212F9C"/>
    <w:rsid w:val="7A922BEB"/>
    <w:rsid w:val="7AB03A9F"/>
    <w:rsid w:val="7B0A0E41"/>
    <w:rsid w:val="7B543010"/>
    <w:rsid w:val="7BE759AA"/>
    <w:rsid w:val="7C4834E7"/>
    <w:rsid w:val="7CA86256"/>
    <w:rsid w:val="7DAD7BBE"/>
    <w:rsid w:val="7DB618B0"/>
    <w:rsid w:val="7F894FB6"/>
    <w:rsid w:val="7F913D3B"/>
    <w:rsid w:val="7F965A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unhideWhenUsed/>
    <w:qFormat/>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cs="Times New Roman"/>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cs="Times New Roman"/>
      <w:b/>
      <w:bCs/>
      <w:caps/>
      <w:kern w:val="44"/>
      <w:sz w:val="24"/>
      <w:szCs w:val="21"/>
    </w:rPr>
  </w:style>
  <w:style w:type="paragraph" w:styleId="20">
    <w:name w:val="table of figures"/>
    <w:basedOn w:val="1"/>
    <w:next w:val="1"/>
    <w:qFormat/>
    <w:uiPriority w:val="0"/>
    <w:pPr>
      <w:ind w:leftChars="200" w:hanging="200" w:hangingChars="200"/>
    </w:pPr>
  </w:style>
  <w:style w:type="paragraph" w:styleId="21">
    <w:name w:val="toc 2"/>
    <w:basedOn w:val="1"/>
    <w:next w:val="1"/>
    <w:qFormat/>
    <w:uiPriority w:val="0"/>
    <w:pPr>
      <w:ind w:left="420" w:leftChars="200"/>
    </w:pPr>
    <w:rPr>
      <w:szCs w:val="22"/>
    </w:r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1236</Words>
  <Characters>1343</Characters>
  <Lines>92</Lines>
  <Paragraphs>25</Paragraphs>
  <TotalTime>0</TotalTime>
  <ScaleCrop>false</ScaleCrop>
  <LinksUpToDate>false</LinksUpToDate>
  <CharactersWithSpaces>1349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2021-09-18T01:43:00Z</dcterms:created>
  <dc:creator>bin</dc:creator>
  <cp:lastModifiedBy>张立祥</cp:lastModifiedBy>
  <dcterms:modified xsi:type="dcterms:W3CDTF">2025-11-06T08:09:00Z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F3A1395A6E7B434A91B6F77A40354BAE_13</vt:lpwstr>
  </property>
  <property fmtid="{D5CDD505-2E9C-101B-9397-08002B2CF9AE}" pid="4" name="KSOTemplateDocerSaveRecord">
    <vt:lpwstr>eyJoZGlkIjoiZWNhZjJlMmFlZWNhOTZiNTdkNjhkZTlhODhmZTg3NWYiLCJ1c2VySWQiOiI1OTU4MzczOTAifQ==</vt:lpwstr>
  </property>
</Properties>
</file>