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D0E77">
      <w:pPr>
        <w:adjustRightInd w:val="0"/>
        <w:snapToGrid w:val="0"/>
        <w:spacing w:before="624" w:beforeLines="200" w:after="62" w:afterLines="20" w:line="480" w:lineRule="auto"/>
        <w:jc w:val="center"/>
        <w:rPr>
          <w:rFonts w:ascii="Times New Roman" w:hAnsi="Times New Roman" w:eastAsia="方正小标宋简体"/>
          <w:b/>
          <w:bCs/>
          <w:kern w:val="1"/>
          <w:sz w:val="44"/>
          <w:szCs w:val="44"/>
          <w:u w:val="single"/>
        </w:rPr>
      </w:pPr>
      <w:r>
        <w:rPr>
          <w:rFonts w:ascii="Times New Roman" w:hAnsi="Times New Roman" w:eastAsia="方正小标宋简体"/>
          <w:b/>
          <w:bCs/>
          <w:w w:val="110"/>
          <w:kern w:val="1"/>
          <w:sz w:val="44"/>
          <w:szCs w:val="44"/>
          <w:u w:val="single"/>
        </w:rPr>
        <w:t>特码斯派克工业技术(安徽)有限公司</w:t>
      </w:r>
    </w:p>
    <w:p w14:paraId="2FB0A899">
      <w:pPr>
        <w:adjustRightInd w:val="0"/>
        <w:snapToGrid w:val="0"/>
        <w:spacing w:before="624" w:beforeLines="200" w:after="62" w:afterLines="20" w:line="480" w:lineRule="auto"/>
        <w:jc w:val="center"/>
        <w:rPr>
          <w:rFonts w:ascii="Times New Roman" w:hAnsi="Times New Roman" w:eastAsia="方正小标宋简体"/>
          <w:b/>
          <w:bCs/>
          <w:kern w:val="1"/>
          <w:sz w:val="44"/>
          <w:szCs w:val="44"/>
        </w:rPr>
      </w:pPr>
      <w:r>
        <w:rPr>
          <w:rFonts w:ascii="Times New Roman" w:hAnsi="Times New Roman" w:eastAsia="方正小标宋简体"/>
          <w:b/>
          <w:bCs/>
          <w:kern w:val="1"/>
          <w:sz w:val="44"/>
          <w:szCs w:val="44"/>
        </w:rPr>
        <w:t>采购项目</w:t>
      </w:r>
    </w:p>
    <w:p w14:paraId="2740C65B">
      <w:pPr>
        <w:pStyle w:val="2"/>
        <w:numPr>
          <w:ilvl w:val="0"/>
          <w:numId w:val="0"/>
        </w:numPr>
        <w:rPr>
          <w:rFonts w:hint="default" w:ascii="Times New Roman" w:hAnsi="Times New Roman" w:eastAsia="宋体"/>
          <w:b/>
          <w:bCs/>
          <w:kern w:val="1"/>
          <w:sz w:val="24"/>
        </w:rPr>
      </w:pPr>
      <w:bookmarkStart w:id="0" w:name="_Toc10378"/>
      <w:bookmarkStart w:id="1" w:name="_Toc20062"/>
      <w:r>
        <w:rPr>
          <w:rFonts w:hint="default" w:ascii="Times New Roman" w:hAnsi="Times New Roman"/>
          <w:sz w:val="44"/>
          <w:szCs w:val="44"/>
        </w:rPr>
        <w:t xml:space="preserve"> 技术规格书</w:t>
      </w:r>
      <w:bookmarkEnd w:id="0"/>
    </w:p>
    <w:p w14:paraId="7B06638D">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一、</w:t>
      </w:r>
      <w:r>
        <w:rPr>
          <w:rFonts w:ascii="Times New Roman" w:hAnsi="Times New Roman" w:eastAsia="宋体"/>
          <w:b/>
          <w:bCs/>
          <w:spacing w:val="-5"/>
          <w:sz w:val="24"/>
          <w:szCs w:val="24"/>
        </w:rPr>
        <w:t>项目范围</w:t>
      </w:r>
    </w:p>
    <w:p w14:paraId="3F2617E7">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产品名称：</w:t>
      </w:r>
      <w:r>
        <w:rPr>
          <w:sz w:val="24"/>
          <w:szCs w:val="24"/>
        </w:rPr>
        <w:t>SDM4065A 6½ 位数字万用表</w:t>
      </w:r>
    </w:p>
    <w:p w14:paraId="336FC02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供货数量：1台</w:t>
      </w:r>
    </w:p>
    <w:p w14:paraId="612C4E38">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二、交货时间及地点</w:t>
      </w:r>
    </w:p>
    <w:p w14:paraId="7BC1AC4E">
      <w:pPr>
        <w:spacing w:line="360" w:lineRule="auto"/>
        <w:ind w:firstLine="480" w:firstLineChars="200"/>
        <w:rPr>
          <w:rFonts w:ascii="Times New Roman" w:hAnsi="Times New Roman"/>
        </w:rPr>
      </w:pPr>
      <w:r>
        <w:rPr>
          <w:rFonts w:ascii="Times New Roman" w:hAnsi="Times New Roman" w:eastAsia="宋体"/>
          <w:bCs/>
          <w:sz w:val="24"/>
          <w:szCs w:val="24"/>
        </w:rPr>
        <w:t>于2025年</w:t>
      </w:r>
      <w:r>
        <w:rPr>
          <w:rFonts w:hint="eastAsia" w:ascii="Times New Roman" w:hAnsi="Times New Roman" w:eastAsia="宋体"/>
          <w:bCs/>
          <w:sz w:val="24"/>
          <w:szCs w:val="24"/>
          <w:lang w:val="en-US" w:eastAsia="zh-CN"/>
        </w:rPr>
        <w:t>12</w:t>
      </w:r>
      <w:r>
        <w:rPr>
          <w:rFonts w:ascii="Times New Roman" w:hAnsi="Times New Roman" w:eastAsia="宋体"/>
          <w:bCs/>
          <w:sz w:val="24"/>
          <w:szCs w:val="24"/>
        </w:rPr>
        <w:t>月</w:t>
      </w:r>
      <w:r>
        <w:rPr>
          <w:rFonts w:hint="eastAsia" w:ascii="Times New Roman" w:hAnsi="Times New Roman" w:eastAsia="宋体"/>
          <w:bCs/>
          <w:sz w:val="24"/>
          <w:szCs w:val="24"/>
          <w:lang w:val="en-US" w:eastAsia="zh-CN"/>
        </w:rPr>
        <w:t>30</w:t>
      </w:r>
      <w:r>
        <w:rPr>
          <w:rFonts w:ascii="Times New Roman" w:hAnsi="Times New Roman" w:eastAsia="宋体"/>
          <w:bCs/>
          <w:sz w:val="24"/>
          <w:szCs w:val="24"/>
        </w:rPr>
        <w:t>日前负责将设备免费运至需方指定地点。</w:t>
      </w:r>
      <w:bookmarkStart w:id="2" w:name="_GoBack"/>
      <w:bookmarkEnd w:id="2"/>
    </w:p>
    <w:p w14:paraId="4FFC371A">
      <w:pPr>
        <w:pStyle w:val="9"/>
        <w:spacing w:before="100" w:line="360" w:lineRule="auto"/>
        <w:rPr>
          <w:rFonts w:ascii="Times New Roman" w:hAnsi="Times New Roman" w:eastAsia="新宋体"/>
          <w:sz w:val="24"/>
          <w:szCs w:val="24"/>
        </w:rPr>
      </w:pPr>
      <w:r>
        <w:rPr>
          <w:rFonts w:ascii="Times New Roman" w:hAnsi="Times New Roman" w:eastAsia="新宋体"/>
          <w:b/>
          <w:bCs/>
          <w:spacing w:val="1"/>
          <w:sz w:val="24"/>
          <w:szCs w:val="24"/>
        </w:rPr>
        <w:t>三、总则</w:t>
      </w:r>
    </w:p>
    <w:p w14:paraId="19DAC993">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1、本规格书适用于中感集团特码斯派克工业技术有限公司</w:t>
      </w:r>
      <w:r>
        <w:rPr>
          <w:rFonts w:hint="eastAsia" w:ascii="Times New Roman" w:hAnsi="Times New Roman" w:eastAsia="宋体"/>
          <w:bCs/>
          <w:sz w:val="24"/>
          <w:szCs w:val="24"/>
        </w:rPr>
        <w:t>频谱分析仪和矢量网络分析仪二合一</w:t>
      </w:r>
      <w:r>
        <w:rPr>
          <w:rFonts w:ascii="Times New Roman" w:hAnsi="Times New Roman" w:eastAsia="宋体"/>
          <w:bCs/>
          <w:sz w:val="24"/>
          <w:szCs w:val="24"/>
        </w:rPr>
        <w:t>设备招标。</w:t>
      </w:r>
    </w:p>
    <w:p w14:paraId="7973B9C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2、本规格书提出的技术要求，未充分引述有关标准和规范的条文，投标厂家应承诺提供符合本规格书和有关最新工业标准及规程规范的优质产品。</w:t>
      </w:r>
    </w:p>
    <w:p w14:paraId="67AC16E2">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3、设备采用的专利涉及的全部费用均被认为已包含在设备报价中，响应厂家应保证购方不承担有关设备专利的一切责任。</w:t>
      </w:r>
    </w:p>
    <w:p w14:paraId="4FF6D077">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4、本规格书提出的是最低限度的技术要求，投标厂家必须保证及完全履行提供符合本规格书要求的产品。</w:t>
      </w:r>
    </w:p>
    <w:p w14:paraId="4AA8427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5、本规格书中的技术参数和关键技术要求，为不可偏离项，投标厂家必须完全满足，否则视为无效标。</w:t>
      </w:r>
    </w:p>
    <w:p w14:paraId="3409C164">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6、本规格书经供、需双方协商确定后可作为订货合同的技术附件，与合同正文具有同等效力。</w:t>
      </w:r>
    </w:p>
    <w:p w14:paraId="754CF915">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四、供货清单</w:t>
      </w:r>
    </w:p>
    <w:p w14:paraId="24FCA014">
      <w:pPr>
        <w:pStyle w:val="9"/>
        <w:spacing w:before="239" w:line="360" w:lineRule="auto"/>
        <w:ind w:firstLine="480" w:firstLineChars="200"/>
        <w:rPr>
          <w:rFonts w:ascii="Times New Roman" w:hAnsi="Times New Roman" w:eastAsia="宋体"/>
          <w:bCs/>
          <w:sz w:val="24"/>
          <w:szCs w:val="24"/>
        </w:rPr>
      </w:pPr>
      <w:r>
        <w:rPr>
          <w:sz w:val="24"/>
          <w:szCs w:val="24"/>
        </w:rPr>
        <w:t>SDM4065A 6½ 位数字万用表</w:t>
      </w:r>
      <w:r>
        <w:rPr>
          <w:rFonts w:ascii="Times New Roman" w:hAnsi="Times New Roman" w:eastAsia="宋体"/>
          <w:bCs/>
          <w:sz w:val="24"/>
          <w:szCs w:val="24"/>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2307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vAlign w:val="center"/>
          </w:tcPr>
          <w:p w14:paraId="0A95E614">
            <w:pPr>
              <w:jc w:val="center"/>
              <w:rPr>
                <w:rFonts w:ascii="Times New Roman" w:hAnsi="Times New Roman" w:eastAsia="宋体"/>
                <w:b/>
                <w:bCs/>
                <w:sz w:val="24"/>
                <w:szCs w:val="24"/>
              </w:rPr>
            </w:pPr>
            <w:r>
              <w:rPr>
                <w:rFonts w:ascii="Times New Roman" w:hAnsi="Times New Roman" w:eastAsia="宋体"/>
                <w:b/>
                <w:bCs/>
                <w:sz w:val="24"/>
                <w:szCs w:val="24"/>
              </w:rPr>
              <w:t>序号</w:t>
            </w:r>
          </w:p>
        </w:tc>
        <w:tc>
          <w:tcPr>
            <w:tcW w:w="1518" w:type="dxa"/>
            <w:shd w:val="clear" w:color="auto" w:fill="E7E6E6"/>
            <w:vAlign w:val="center"/>
          </w:tcPr>
          <w:p w14:paraId="33A83355">
            <w:pPr>
              <w:jc w:val="center"/>
              <w:rPr>
                <w:rFonts w:ascii="Times New Roman" w:hAnsi="Times New Roman" w:eastAsia="宋体"/>
                <w:b/>
                <w:bCs/>
                <w:sz w:val="24"/>
                <w:szCs w:val="24"/>
              </w:rPr>
            </w:pPr>
            <w:r>
              <w:rPr>
                <w:rFonts w:ascii="Times New Roman" w:hAnsi="Times New Roman" w:eastAsia="宋体"/>
                <w:b/>
                <w:bCs/>
                <w:sz w:val="24"/>
                <w:szCs w:val="24"/>
              </w:rPr>
              <w:t>名称</w:t>
            </w:r>
          </w:p>
        </w:tc>
        <w:tc>
          <w:tcPr>
            <w:tcW w:w="869" w:type="dxa"/>
            <w:shd w:val="clear" w:color="auto" w:fill="E7E6E6"/>
            <w:vAlign w:val="center"/>
          </w:tcPr>
          <w:p w14:paraId="56C601D8">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1586" w:type="dxa"/>
            <w:shd w:val="clear" w:color="auto" w:fill="E7E6E6"/>
            <w:vAlign w:val="center"/>
          </w:tcPr>
          <w:p w14:paraId="05419DA1">
            <w:pPr>
              <w:jc w:val="center"/>
              <w:rPr>
                <w:rFonts w:ascii="Times New Roman" w:hAnsi="Times New Roman" w:eastAsia="宋体"/>
                <w:b/>
                <w:bCs/>
                <w:sz w:val="24"/>
                <w:szCs w:val="24"/>
              </w:rPr>
            </w:pPr>
            <w:r>
              <w:rPr>
                <w:rFonts w:ascii="Times New Roman" w:hAnsi="Times New Roman" w:eastAsia="宋体"/>
                <w:b/>
                <w:bCs/>
                <w:sz w:val="24"/>
                <w:szCs w:val="24"/>
              </w:rPr>
              <w:t>数量</w:t>
            </w:r>
          </w:p>
        </w:tc>
        <w:tc>
          <w:tcPr>
            <w:tcW w:w="3387" w:type="dxa"/>
            <w:shd w:val="clear" w:color="auto" w:fill="E7E6E6"/>
            <w:vAlign w:val="center"/>
          </w:tcPr>
          <w:p w14:paraId="4148DB04">
            <w:pPr>
              <w:jc w:val="center"/>
              <w:rPr>
                <w:rFonts w:ascii="Times New Roman" w:hAnsi="Times New Roman" w:eastAsia="宋体"/>
                <w:b/>
                <w:bCs/>
                <w:sz w:val="24"/>
                <w:szCs w:val="24"/>
              </w:rPr>
            </w:pPr>
            <w:r>
              <w:rPr>
                <w:rFonts w:ascii="Times New Roman" w:hAnsi="Times New Roman" w:eastAsia="宋体"/>
                <w:b/>
                <w:bCs/>
                <w:sz w:val="24"/>
                <w:szCs w:val="24"/>
              </w:rPr>
              <w:t>备注</w:t>
            </w:r>
          </w:p>
        </w:tc>
      </w:tr>
      <w:tr w14:paraId="1C02F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81" w:type="dxa"/>
            <w:vAlign w:val="center"/>
          </w:tcPr>
          <w:p w14:paraId="5F4EA4A6">
            <w:pPr>
              <w:jc w:val="center"/>
              <w:rPr>
                <w:rFonts w:ascii="Times New Roman" w:hAnsi="Times New Roman" w:eastAsia="宋体"/>
                <w:sz w:val="24"/>
                <w:szCs w:val="24"/>
              </w:rPr>
            </w:pPr>
            <w:r>
              <w:rPr>
                <w:rFonts w:ascii="Times New Roman" w:hAnsi="Times New Roman" w:eastAsia="宋体"/>
                <w:sz w:val="24"/>
                <w:szCs w:val="24"/>
              </w:rPr>
              <w:t>1</w:t>
            </w:r>
          </w:p>
        </w:tc>
        <w:tc>
          <w:tcPr>
            <w:tcW w:w="1518" w:type="dxa"/>
            <w:vAlign w:val="center"/>
          </w:tcPr>
          <w:p w14:paraId="670F5F26">
            <w:pPr>
              <w:jc w:val="center"/>
              <w:rPr>
                <w:rFonts w:ascii="Times New Roman" w:hAnsi="Times New Roman" w:eastAsia="宋体"/>
                <w:sz w:val="24"/>
                <w:szCs w:val="24"/>
              </w:rPr>
            </w:pPr>
            <w:r>
              <w:t>SDM4065A 6½ 位数字万用表</w:t>
            </w:r>
          </w:p>
        </w:tc>
        <w:tc>
          <w:tcPr>
            <w:tcW w:w="869" w:type="dxa"/>
            <w:vAlign w:val="center"/>
          </w:tcPr>
          <w:p w14:paraId="53C235C1">
            <w:pPr>
              <w:jc w:val="center"/>
              <w:rPr>
                <w:rFonts w:ascii="Times New Roman" w:hAnsi="Times New Roman" w:eastAsia="宋体"/>
                <w:sz w:val="24"/>
                <w:szCs w:val="24"/>
              </w:rPr>
            </w:pPr>
            <w:r>
              <w:rPr>
                <w:rFonts w:ascii="Times New Roman" w:hAnsi="Times New Roman" w:eastAsia="宋体"/>
                <w:sz w:val="24"/>
                <w:szCs w:val="24"/>
              </w:rPr>
              <w:t>台</w:t>
            </w:r>
          </w:p>
        </w:tc>
        <w:tc>
          <w:tcPr>
            <w:tcW w:w="1586" w:type="dxa"/>
            <w:vAlign w:val="center"/>
          </w:tcPr>
          <w:p w14:paraId="5C951E1B">
            <w:pPr>
              <w:jc w:val="center"/>
              <w:rPr>
                <w:rFonts w:ascii="Times New Roman" w:hAnsi="Times New Roman" w:eastAsia="宋体"/>
                <w:sz w:val="24"/>
                <w:szCs w:val="24"/>
              </w:rPr>
            </w:pPr>
            <w:r>
              <w:rPr>
                <w:rFonts w:ascii="Times New Roman" w:hAnsi="Times New Roman" w:eastAsia="宋体"/>
                <w:sz w:val="24"/>
                <w:szCs w:val="24"/>
              </w:rPr>
              <w:t>1</w:t>
            </w:r>
          </w:p>
        </w:tc>
        <w:tc>
          <w:tcPr>
            <w:tcW w:w="3387" w:type="dxa"/>
            <w:vAlign w:val="center"/>
          </w:tcPr>
          <w:p w14:paraId="5FB0C859">
            <w:pPr>
              <w:rPr>
                <w:rFonts w:ascii="Times New Roman" w:hAnsi="Times New Roman" w:eastAsia="宋体"/>
                <w:sz w:val="24"/>
                <w:szCs w:val="24"/>
              </w:rPr>
            </w:pPr>
            <w:r>
              <w:t>直流电压测量 直流电流测量 True-RMS 交流电压测量 True-RMS 交流电流测量 2、4 线电阻测量 电容测量 连通性测试 二极管测试 频率测量 周期测量 温度测量</w:t>
            </w:r>
          </w:p>
        </w:tc>
      </w:tr>
      <w:tr w14:paraId="44976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81" w:type="dxa"/>
            <w:vAlign w:val="center"/>
          </w:tcPr>
          <w:p w14:paraId="38BDCD05">
            <w:pPr>
              <w:jc w:val="center"/>
              <w:rPr>
                <w:rFonts w:ascii="Times New Roman" w:hAnsi="Times New Roman" w:eastAsia="宋体"/>
                <w:sz w:val="24"/>
                <w:szCs w:val="24"/>
              </w:rPr>
            </w:pPr>
            <w:r>
              <w:rPr>
                <w:rFonts w:ascii="Times New Roman" w:hAnsi="Times New Roman" w:eastAsia="宋体"/>
                <w:sz w:val="24"/>
                <w:szCs w:val="24"/>
              </w:rPr>
              <w:t>2</w:t>
            </w:r>
          </w:p>
        </w:tc>
        <w:tc>
          <w:tcPr>
            <w:tcW w:w="1518" w:type="dxa"/>
            <w:vAlign w:val="center"/>
          </w:tcPr>
          <w:p w14:paraId="646F1CEB">
            <w:pPr>
              <w:jc w:val="center"/>
              <w:rPr>
                <w:rFonts w:ascii="Times New Roman" w:hAnsi="Times New Roman" w:eastAsia="宋体"/>
                <w:sz w:val="24"/>
                <w:szCs w:val="24"/>
              </w:rPr>
            </w:pPr>
            <w:r>
              <w:rPr>
                <w:rFonts w:hint="eastAsia" w:ascii="Times New Roman" w:hAnsi="Times New Roman" w:eastAsia="宋体"/>
                <w:sz w:val="24"/>
                <w:szCs w:val="24"/>
              </w:rPr>
              <w:t>附件</w:t>
            </w:r>
          </w:p>
        </w:tc>
        <w:tc>
          <w:tcPr>
            <w:tcW w:w="869" w:type="dxa"/>
            <w:vAlign w:val="center"/>
          </w:tcPr>
          <w:p w14:paraId="15B556FD">
            <w:pPr>
              <w:jc w:val="center"/>
              <w:rPr>
                <w:rFonts w:ascii="Times New Roman" w:hAnsi="Times New Roman" w:eastAsia="宋体"/>
                <w:sz w:val="24"/>
                <w:szCs w:val="24"/>
              </w:rPr>
            </w:pPr>
            <w:r>
              <w:rPr>
                <w:rFonts w:hint="eastAsia" w:ascii="Times New Roman" w:hAnsi="Times New Roman" w:eastAsia="宋体"/>
                <w:sz w:val="24"/>
                <w:szCs w:val="24"/>
              </w:rPr>
              <w:t>套</w:t>
            </w:r>
          </w:p>
        </w:tc>
        <w:tc>
          <w:tcPr>
            <w:tcW w:w="1586" w:type="dxa"/>
            <w:vAlign w:val="center"/>
          </w:tcPr>
          <w:p w14:paraId="68D6E5CC">
            <w:pPr>
              <w:jc w:val="center"/>
              <w:rPr>
                <w:rFonts w:ascii="Times New Roman" w:hAnsi="Times New Roman" w:eastAsia="宋体"/>
                <w:sz w:val="24"/>
                <w:szCs w:val="24"/>
              </w:rPr>
            </w:pPr>
            <w:r>
              <w:rPr>
                <w:rFonts w:hint="eastAsia" w:ascii="Times New Roman" w:hAnsi="Times New Roman" w:eastAsia="宋体"/>
                <w:sz w:val="24"/>
                <w:szCs w:val="24"/>
              </w:rPr>
              <w:t>1</w:t>
            </w:r>
          </w:p>
        </w:tc>
        <w:tc>
          <w:tcPr>
            <w:tcW w:w="3387" w:type="dxa"/>
            <w:vAlign w:val="center"/>
          </w:tcPr>
          <w:p w14:paraId="173AC4AA">
            <w:pPr>
              <w:rPr>
                <w:rFonts w:ascii="Times New Roman" w:hAnsi="Times New Roman" w:eastAsia="宋体"/>
                <w:sz w:val="24"/>
                <w:szCs w:val="24"/>
              </w:rPr>
            </w:pPr>
            <w:r>
              <w:rPr>
                <w:rFonts w:hint="eastAsia" w:ascii="Times New Roman" w:hAnsi="Times New Roman" w:eastAsia="宋体"/>
                <w:sz w:val="24"/>
                <w:szCs w:val="24"/>
              </w:rPr>
              <w:t>配套扫描卡和软件</w:t>
            </w:r>
          </w:p>
        </w:tc>
      </w:tr>
    </w:tbl>
    <w:p w14:paraId="3078191C">
      <w:pPr>
        <w:numPr>
          <w:ilvl w:val="0"/>
          <w:numId w:val="2"/>
        </w:numPr>
        <w:spacing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主要技术参数</w:t>
      </w:r>
    </w:p>
    <w:tbl>
      <w:tblPr>
        <w:tblStyle w:val="26"/>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132"/>
        <w:gridCol w:w="862"/>
        <w:gridCol w:w="4343"/>
      </w:tblGrid>
      <w:tr w14:paraId="6678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991" w:type="dxa"/>
            <w:gridSpan w:val="2"/>
            <w:vAlign w:val="center"/>
          </w:tcPr>
          <w:p w14:paraId="0A681939">
            <w:pPr>
              <w:jc w:val="center"/>
              <w:rPr>
                <w:rFonts w:ascii="Times New Roman" w:hAnsi="Times New Roman" w:eastAsia="宋体"/>
                <w:b/>
                <w:bCs/>
                <w:sz w:val="24"/>
                <w:szCs w:val="24"/>
              </w:rPr>
            </w:pPr>
            <w:r>
              <w:rPr>
                <w:rFonts w:ascii="Times New Roman" w:hAnsi="Times New Roman" w:eastAsia="宋体"/>
                <w:b/>
                <w:bCs/>
                <w:sz w:val="24"/>
                <w:szCs w:val="24"/>
              </w:rPr>
              <w:t>项目</w:t>
            </w:r>
          </w:p>
        </w:tc>
        <w:tc>
          <w:tcPr>
            <w:tcW w:w="862" w:type="dxa"/>
            <w:vAlign w:val="center"/>
          </w:tcPr>
          <w:p w14:paraId="569C4F36">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4343" w:type="dxa"/>
            <w:vAlign w:val="center"/>
          </w:tcPr>
          <w:p w14:paraId="4597AA9A">
            <w:pPr>
              <w:jc w:val="center"/>
              <w:rPr>
                <w:rFonts w:ascii="Times New Roman" w:hAnsi="Times New Roman" w:eastAsia="宋体"/>
                <w:b/>
                <w:bCs/>
                <w:sz w:val="24"/>
                <w:szCs w:val="24"/>
              </w:rPr>
            </w:pPr>
            <w:r>
              <w:rPr>
                <w:rFonts w:hint="eastAsia" w:ascii="Times New Roman" w:hAnsi="Times New Roman" w:eastAsia="宋体"/>
                <w:b/>
                <w:bCs/>
                <w:sz w:val="24"/>
                <w:szCs w:val="24"/>
              </w:rPr>
              <w:t>参数</w:t>
            </w:r>
          </w:p>
        </w:tc>
      </w:tr>
      <w:tr w14:paraId="24FD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restart"/>
            <w:vAlign w:val="center"/>
          </w:tcPr>
          <w:p w14:paraId="54CC8FA6">
            <w:pPr>
              <w:jc w:val="center"/>
              <w:rPr>
                <w:rFonts w:ascii="Times New Roman" w:hAnsi="Times New Roman" w:eastAsia="宋体"/>
                <w:szCs w:val="21"/>
              </w:rPr>
            </w:pPr>
            <w:r>
              <w:rPr>
                <w:rFonts w:hint="eastAsia" w:ascii="Times New Roman" w:hAnsi="Times New Roman" w:eastAsia="宋体"/>
                <w:szCs w:val="21"/>
              </w:rPr>
              <w:t>主要参数</w:t>
            </w:r>
          </w:p>
        </w:tc>
        <w:tc>
          <w:tcPr>
            <w:tcW w:w="3132" w:type="dxa"/>
            <w:vAlign w:val="center"/>
          </w:tcPr>
          <w:p w14:paraId="46AFB456">
            <w:pPr>
              <w:snapToGrid w:val="0"/>
              <w:jc w:val="center"/>
              <w:rPr>
                <w:rFonts w:ascii="Times New Roman" w:hAnsi="Times New Roman" w:eastAsia="宋体"/>
                <w:b/>
                <w:bCs/>
                <w:szCs w:val="21"/>
              </w:rPr>
            </w:pPr>
            <w:r>
              <w:rPr>
                <w:rFonts w:hint="eastAsia" w:ascii="Times New Roman" w:hAnsi="Times New Roman" w:eastAsia="宋体"/>
                <w:b/>
                <w:bCs/>
                <w:szCs w:val="21"/>
              </w:rPr>
              <w:t>分辨率</w:t>
            </w:r>
          </w:p>
        </w:tc>
        <w:tc>
          <w:tcPr>
            <w:tcW w:w="862" w:type="dxa"/>
            <w:vAlign w:val="center"/>
          </w:tcPr>
          <w:p w14:paraId="5DA629B2">
            <w:pPr>
              <w:jc w:val="center"/>
              <w:rPr>
                <w:rFonts w:ascii="Times New Roman" w:hAnsi="Times New Roman" w:eastAsia="宋体"/>
                <w:szCs w:val="21"/>
              </w:rPr>
            </w:pPr>
          </w:p>
        </w:tc>
        <w:tc>
          <w:tcPr>
            <w:tcW w:w="4343" w:type="dxa"/>
            <w:vAlign w:val="center"/>
          </w:tcPr>
          <w:p w14:paraId="4A9A856E">
            <w:pPr>
              <w:snapToGrid w:val="0"/>
              <w:jc w:val="center"/>
              <w:rPr>
                <w:rFonts w:ascii="Times New Roman" w:hAnsi="Times New Roman" w:eastAsia="宋体"/>
                <w:b/>
                <w:bCs/>
                <w:szCs w:val="21"/>
              </w:rPr>
            </w:pPr>
            <w:r>
              <w:t>6½</w:t>
            </w:r>
          </w:p>
        </w:tc>
      </w:tr>
      <w:tr w14:paraId="4388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59" w:type="dxa"/>
            <w:vMerge w:val="continue"/>
            <w:vAlign w:val="center"/>
          </w:tcPr>
          <w:p w14:paraId="121E3655">
            <w:pPr>
              <w:jc w:val="center"/>
              <w:rPr>
                <w:rFonts w:ascii="Times New Roman" w:hAnsi="Times New Roman" w:eastAsia="宋体"/>
                <w:szCs w:val="21"/>
              </w:rPr>
            </w:pPr>
          </w:p>
        </w:tc>
        <w:tc>
          <w:tcPr>
            <w:tcW w:w="3132" w:type="dxa"/>
            <w:vAlign w:val="center"/>
          </w:tcPr>
          <w:p w14:paraId="2C1716D3">
            <w:pPr>
              <w:snapToGrid w:val="0"/>
              <w:jc w:val="center"/>
            </w:pPr>
            <w:r>
              <w:t>DCV基本精度</w:t>
            </w:r>
          </w:p>
        </w:tc>
        <w:tc>
          <w:tcPr>
            <w:tcW w:w="862" w:type="dxa"/>
            <w:vAlign w:val="center"/>
          </w:tcPr>
          <w:p w14:paraId="0CD35C1F">
            <w:pPr>
              <w:jc w:val="center"/>
              <w:rPr>
                <w:rFonts w:ascii="Times New Roman" w:hAnsi="Times New Roman" w:eastAsia="宋体"/>
                <w:szCs w:val="21"/>
              </w:rPr>
            </w:pPr>
          </w:p>
        </w:tc>
        <w:tc>
          <w:tcPr>
            <w:tcW w:w="4343" w:type="dxa"/>
            <w:vAlign w:val="center"/>
          </w:tcPr>
          <w:p w14:paraId="2381BEF8">
            <w:pPr>
              <w:jc w:val="center"/>
            </w:pPr>
            <w:r>
              <w:t>35 ppm</w:t>
            </w:r>
          </w:p>
        </w:tc>
      </w:tr>
      <w:tr w14:paraId="6C51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FDB5054">
            <w:pPr>
              <w:jc w:val="center"/>
              <w:rPr>
                <w:rFonts w:ascii="Times New Roman" w:hAnsi="Times New Roman" w:eastAsia="宋体"/>
                <w:szCs w:val="21"/>
              </w:rPr>
            </w:pPr>
          </w:p>
        </w:tc>
        <w:tc>
          <w:tcPr>
            <w:tcW w:w="3132" w:type="dxa"/>
            <w:vAlign w:val="center"/>
          </w:tcPr>
          <w:p w14:paraId="0BA58348">
            <w:pPr>
              <w:snapToGrid w:val="0"/>
              <w:jc w:val="center"/>
              <w:rPr>
                <w:rFonts w:ascii="Times New Roman" w:hAnsi="Times New Roman" w:eastAsia="宋体"/>
                <w:szCs w:val="21"/>
              </w:rPr>
            </w:pPr>
            <w:r>
              <w:t>最大读数速率</w:t>
            </w:r>
          </w:p>
        </w:tc>
        <w:tc>
          <w:tcPr>
            <w:tcW w:w="862" w:type="dxa"/>
            <w:vAlign w:val="center"/>
          </w:tcPr>
          <w:p w14:paraId="67AA0FAF">
            <w:pPr>
              <w:jc w:val="center"/>
              <w:rPr>
                <w:rFonts w:ascii="Times New Roman" w:hAnsi="Times New Roman" w:eastAsia="宋体"/>
                <w:szCs w:val="21"/>
              </w:rPr>
            </w:pPr>
          </w:p>
        </w:tc>
        <w:tc>
          <w:tcPr>
            <w:tcW w:w="4343" w:type="dxa"/>
            <w:vAlign w:val="center"/>
          </w:tcPr>
          <w:p w14:paraId="0228A510">
            <w:pPr>
              <w:snapToGrid w:val="0"/>
              <w:jc w:val="center"/>
              <w:rPr>
                <w:rFonts w:ascii="Times New Roman" w:hAnsi="Times New Roman" w:eastAsia="宋体"/>
                <w:szCs w:val="21"/>
              </w:rPr>
            </w:pPr>
            <w:r>
              <w:t>50,000 个读数/秒</w:t>
            </w:r>
          </w:p>
        </w:tc>
      </w:tr>
      <w:tr w14:paraId="264E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C778561">
            <w:pPr>
              <w:jc w:val="center"/>
              <w:rPr>
                <w:rFonts w:ascii="Times New Roman" w:hAnsi="Times New Roman" w:eastAsia="宋体"/>
                <w:szCs w:val="21"/>
              </w:rPr>
            </w:pPr>
          </w:p>
        </w:tc>
        <w:tc>
          <w:tcPr>
            <w:tcW w:w="3132" w:type="dxa"/>
            <w:vAlign w:val="center"/>
          </w:tcPr>
          <w:p w14:paraId="1044E5AF">
            <w:pPr>
              <w:snapToGrid w:val="0"/>
              <w:jc w:val="center"/>
              <w:rPr>
                <w:rFonts w:ascii="Times New Roman" w:hAnsi="Times New Roman" w:eastAsia="宋体"/>
                <w:szCs w:val="21"/>
              </w:rPr>
            </w:pPr>
            <w:r>
              <w:t>存储器</w:t>
            </w:r>
          </w:p>
        </w:tc>
        <w:tc>
          <w:tcPr>
            <w:tcW w:w="862" w:type="dxa"/>
          </w:tcPr>
          <w:p w14:paraId="3E2C1F66">
            <w:pPr>
              <w:jc w:val="center"/>
              <w:rPr>
                <w:rFonts w:ascii="Times New Roman" w:hAnsi="Times New Roman" w:eastAsia="宋体"/>
                <w:szCs w:val="21"/>
              </w:rPr>
            </w:pPr>
          </w:p>
        </w:tc>
        <w:tc>
          <w:tcPr>
            <w:tcW w:w="4343" w:type="dxa"/>
            <w:vAlign w:val="center"/>
          </w:tcPr>
          <w:p w14:paraId="3DBD6811">
            <w:pPr>
              <w:jc w:val="center"/>
              <w:rPr>
                <w:rFonts w:ascii="Times New Roman" w:hAnsi="Times New Roman" w:eastAsia="宋体"/>
                <w:szCs w:val="21"/>
              </w:rPr>
            </w:pPr>
            <w:r>
              <w:t>最大200万个读数</w:t>
            </w:r>
          </w:p>
        </w:tc>
      </w:tr>
      <w:tr w14:paraId="736ED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20989D82">
            <w:pPr>
              <w:jc w:val="center"/>
              <w:rPr>
                <w:rFonts w:ascii="Times New Roman" w:hAnsi="Times New Roman" w:eastAsia="宋体"/>
                <w:szCs w:val="21"/>
              </w:rPr>
            </w:pPr>
          </w:p>
        </w:tc>
        <w:tc>
          <w:tcPr>
            <w:tcW w:w="3132" w:type="dxa"/>
            <w:vAlign w:val="center"/>
          </w:tcPr>
          <w:p w14:paraId="19DF36F5">
            <w:pPr>
              <w:snapToGrid w:val="0"/>
              <w:jc w:val="center"/>
              <w:rPr>
                <w:rFonts w:ascii="Times New Roman" w:hAnsi="Times New Roman" w:eastAsia="宋体"/>
                <w:szCs w:val="21"/>
              </w:rPr>
            </w:pPr>
            <w:r>
              <w:t>DCV 量程</w:t>
            </w:r>
          </w:p>
        </w:tc>
        <w:tc>
          <w:tcPr>
            <w:tcW w:w="862" w:type="dxa"/>
          </w:tcPr>
          <w:p w14:paraId="234C075C">
            <w:pPr>
              <w:jc w:val="center"/>
              <w:rPr>
                <w:rFonts w:ascii="Times New Roman" w:hAnsi="Times New Roman" w:eastAsia="宋体"/>
                <w:szCs w:val="21"/>
              </w:rPr>
            </w:pPr>
          </w:p>
        </w:tc>
        <w:tc>
          <w:tcPr>
            <w:tcW w:w="4343" w:type="dxa"/>
            <w:vAlign w:val="center"/>
          </w:tcPr>
          <w:p w14:paraId="36C30A4C">
            <w:pPr>
              <w:jc w:val="center"/>
              <w:rPr>
                <w:rFonts w:ascii="Times New Roman" w:hAnsi="Times New Roman" w:eastAsia="宋体"/>
                <w:szCs w:val="21"/>
              </w:rPr>
            </w:pPr>
            <w:r>
              <w:t>200 mV至1000 V</w:t>
            </w:r>
          </w:p>
        </w:tc>
      </w:tr>
      <w:tr w14:paraId="31F5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D31CAF5">
            <w:pPr>
              <w:jc w:val="center"/>
              <w:rPr>
                <w:rFonts w:ascii="Times New Roman" w:hAnsi="Times New Roman" w:eastAsia="宋体"/>
                <w:szCs w:val="21"/>
              </w:rPr>
            </w:pPr>
          </w:p>
        </w:tc>
        <w:tc>
          <w:tcPr>
            <w:tcW w:w="3132" w:type="dxa"/>
            <w:vAlign w:val="center"/>
          </w:tcPr>
          <w:p w14:paraId="7A4419A7">
            <w:pPr>
              <w:snapToGrid w:val="0"/>
              <w:jc w:val="center"/>
              <w:rPr>
                <w:rFonts w:ascii="Times New Roman" w:hAnsi="Times New Roman" w:eastAsia="宋体"/>
                <w:szCs w:val="21"/>
              </w:rPr>
            </w:pPr>
            <w:r>
              <w:t>ACV 量程</w:t>
            </w:r>
          </w:p>
        </w:tc>
        <w:tc>
          <w:tcPr>
            <w:tcW w:w="862" w:type="dxa"/>
          </w:tcPr>
          <w:p w14:paraId="2199173A">
            <w:pPr>
              <w:jc w:val="center"/>
              <w:rPr>
                <w:rFonts w:ascii="Times New Roman" w:hAnsi="Times New Roman" w:eastAsia="宋体"/>
                <w:szCs w:val="21"/>
              </w:rPr>
            </w:pPr>
          </w:p>
        </w:tc>
        <w:tc>
          <w:tcPr>
            <w:tcW w:w="4343" w:type="dxa"/>
            <w:vAlign w:val="center"/>
          </w:tcPr>
          <w:p w14:paraId="091CD3C8">
            <w:pPr>
              <w:jc w:val="center"/>
              <w:rPr>
                <w:rFonts w:ascii="Times New Roman" w:hAnsi="Times New Roman" w:eastAsia="宋体"/>
                <w:szCs w:val="21"/>
              </w:rPr>
            </w:pPr>
            <w:r>
              <w:t>200 mV至750 V</w:t>
            </w:r>
          </w:p>
        </w:tc>
      </w:tr>
      <w:tr w14:paraId="4EE22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A88FC47">
            <w:pPr>
              <w:jc w:val="center"/>
              <w:rPr>
                <w:rFonts w:ascii="Times New Roman" w:hAnsi="Times New Roman" w:eastAsia="宋体"/>
                <w:szCs w:val="21"/>
              </w:rPr>
            </w:pPr>
          </w:p>
        </w:tc>
        <w:tc>
          <w:tcPr>
            <w:tcW w:w="3132" w:type="dxa"/>
            <w:vAlign w:val="center"/>
          </w:tcPr>
          <w:p w14:paraId="6442F014">
            <w:pPr>
              <w:snapToGrid w:val="0"/>
              <w:jc w:val="center"/>
              <w:rPr>
                <w:rFonts w:ascii="Times New Roman" w:hAnsi="Times New Roman" w:eastAsia="宋体"/>
                <w:szCs w:val="21"/>
              </w:rPr>
            </w:pPr>
            <w:r>
              <w:t>DCI 量程</w:t>
            </w:r>
          </w:p>
        </w:tc>
        <w:tc>
          <w:tcPr>
            <w:tcW w:w="862" w:type="dxa"/>
          </w:tcPr>
          <w:p w14:paraId="7701299F">
            <w:pPr>
              <w:jc w:val="center"/>
              <w:rPr>
                <w:rFonts w:ascii="Times New Roman" w:hAnsi="Times New Roman" w:eastAsia="宋体"/>
                <w:szCs w:val="21"/>
              </w:rPr>
            </w:pPr>
          </w:p>
        </w:tc>
        <w:tc>
          <w:tcPr>
            <w:tcW w:w="4343" w:type="dxa"/>
            <w:vAlign w:val="center"/>
          </w:tcPr>
          <w:p w14:paraId="02A6AA5B">
            <w:pPr>
              <w:jc w:val="center"/>
              <w:rPr>
                <w:rFonts w:ascii="Times New Roman" w:hAnsi="Times New Roman" w:eastAsia="宋体"/>
                <w:szCs w:val="21"/>
              </w:rPr>
            </w:pPr>
            <w:r>
              <w:t>200 uA至10 A</w:t>
            </w:r>
          </w:p>
        </w:tc>
      </w:tr>
      <w:tr w14:paraId="5523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863CFE4">
            <w:pPr>
              <w:jc w:val="center"/>
              <w:rPr>
                <w:rFonts w:ascii="Times New Roman" w:hAnsi="Times New Roman" w:eastAsia="宋体"/>
                <w:bCs/>
                <w:szCs w:val="21"/>
              </w:rPr>
            </w:pPr>
          </w:p>
        </w:tc>
        <w:tc>
          <w:tcPr>
            <w:tcW w:w="3132" w:type="dxa"/>
            <w:vAlign w:val="center"/>
          </w:tcPr>
          <w:p w14:paraId="182B1CB2">
            <w:pPr>
              <w:snapToGrid w:val="0"/>
              <w:jc w:val="center"/>
              <w:rPr>
                <w:rFonts w:ascii="Times New Roman" w:hAnsi="Times New Roman" w:eastAsia="宋体"/>
                <w:b/>
                <w:bCs/>
                <w:szCs w:val="21"/>
              </w:rPr>
            </w:pPr>
            <w:r>
              <w:t>ACI 量程</w:t>
            </w:r>
          </w:p>
        </w:tc>
        <w:tc>
          <w:tcPr>
            <w:tcW w:w="862" w:type="dxa"/>
          </w:tcPr>
          <w:p w14:paraId="48F89B5A">
            <w:pPr>
              <w:jc w:val="center"/>
              <w:rPr>
                <w:rFonts w:ascii="Times New Roman" w:hAnsi="Times New Roman" w:eastAsia="宋体"/>
                <w:szCs w:val="21"/>
              </w:rPr>
            </w:pPr>
          </w:p>
        </w:tc>
        <w:tc>
          <w:tcPr>
            <w:tcW w:w="4343" w:type="dxa"/>
            <w:vAlign w:val="center"/>
          </w:tcPr>
          <w:p w14:paraId="046C9880">
            <w:pPr>
              <w:snapToGrid w:val="0"/>
              <w:jc w:val="center"/>
              <w:rPr>
                <w:rFonts w:ascii="Times New Roman" w:hAnsi="Times New Roman" w:eastAsia="宋体"/>
                <w:szCs w:val="21"/>
              </w:rPr>
            </w:pPr>
            <w:r>
              <w:t>200 uA至10 A</w:t>
            </w:r>
          </w:p>
        </w:tc>
      </w:tr>
      <w:tr w14:paraId="6503C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3FB3B177">
            <w:pPr>
              <w:jc w:val="center"/>
              <w:rPr>
                <w:rFonts w:ascii="Times New Roman" w:hAnsi="Times New Roman" w:eastAsia="宋体"/>
                <w:szCs w:val="21"/>
              </w:rPr>
            </w:pPr>
          </w:p>
        </w:tc>
        <w:tc>
          <w:tcPr>
            <w:tcW w:w="3132" w:type="dxa"/>
            <w:vAlign w:val="center"/>
          </w:tcPr>
          <w:p w14:paraId="6BABFBFE">
            <w:pPr>
              <w:snapToGrid w:val="0"/>
              <w:jc w:val="center"/>
              <w:rPr>
                <w:rFonts w:ascii="Times New Roman" w:hAnsi="Times New Roman" w:eastAsia="宋体"/>
                <w:b/>
                <w:bCs/>
                <w:szCs w:val="21"/>
              </w:rPr>
            </w:pPr>
            <w:r>
              <w:t>2线和4线电阻 量程</w:t>
            </w:r>
          </w:p>
        </w:tc>
        <w:tc>
          <w:tcPr>
            <w:tcW w:w="862" w:type="dxa"/>
          </w:tcPr>
          <w:p w14:paraId="3FEF3057">
            <w:pPr>
              <w:jc w:val="center"/>
              <w:rPr>
                <w:rFonts w:ascii="Times New Roman" w:hAnsi="Times New Roman" w:eastAsia="宋体"/>
                <w:szCs w:val="21"/>
              </w:rPr>
            </w:pPr>
          </w:p>
        </w:tc>
        <w:tc>
          <w:tcPr>
            <w:tcW w:w="4343" w:type="dxa"/>
            <w:vAlign w:val="center"/>
          </w:tcPr>
          <w:p w14:paraId="561E5731">
            <w:pPr>
              <w:jc w:val="center"/>
              <w:rPr>
                <w:rFonts w:ascii="Times New Roman" w:hAnsi="Times New Roman" w:eastAsia="宋体"/>
                <w:szCs w:val="21"/>
              </w:rPr>
            </w:pPr>
            <w:r>
              <w:t>200 Ω至100 MΩ</w:t>
            </w:r>
          </w:p>
        </w:tc>
      </w:tr>
      <w:tr w14:paraId="74E03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5D0DE9EA">
            <w:pPr>
              <w:jc w:val="center"/>
              <w:rPr>
                <w:rFonts w:ascii="Times New Roman" w:hAnsi="Times New Roman" w:eastAsia="宋体"/>
                <w:szCs w:val="21"/>
              </w:rPr>
            </w:pPr>
          </w:p>
        </w:tc>
        <w:tc>
          <w:tcPr>
            <w:tcW w:w="3132" w:type="dxa"/>
            <w:vAlign w:val="center"/>
          </w:tcPr>
          <w:p w14:paraId="79D396F6">
            <w:pPr>
              <w:snapToGrid w:val="0"/>
              <w:jc w:val="center"/>
              <w:rPr>
                <w:rFonts w:ascii="Times New Roman" w:hAnsi="Times New Roman" w:eastAsia="宋体"/>
                <w:szCs w:val="21"/>
              </w:rPr>
            </w:pPr>
            <w:r>
              <w:t>导通、二极管</w:t>
            </w:r>
          </w:p>
        </w:tc>
        <w:tc>
          <w:tcPr>
            <w:tcW w:w="862" w:type="dxa"/>
          </w:tcPr>
          <w:p w14:paraId="45535D38">
            <w:pPr>
              <w:jc w:val="center"/>
              <w:rPr>
                <w:rFonts w:ascii="Times New Roman" w:hAnsi="Times New Roman" w:eastAsia="宋体"/>
                <w:szCs w:val="21"/>
              </w:rPr>
            </w:pPr>
          </w:p>
        </w:tc>
        <w:tc>
          <w:tcPr>
            <w:tcW w:w="4343" w:type="dxa"/>
            <w:vAlign w:val="center"/>
          </w:tcPr>
          <w:p w14:paraId="2A2BFEF1">
            <w:pPr>
              <w:snapToGrid w:val="0"/>
              <w:jc w:val="center"/>
              <w:rPr>
                <w:rFonts w:ascii="Times New Roman" w:hAnsi="Times New Roman" w:eastAsia="宋体"/>
                <w:szCs w:val="21"/>
              </w:rPr>
            </w:pPr>
            <w:r>
              <w:t>蜂鸣器，4 V</w:t>
            </w:r>
          </w:p>
        </w:tc>
      </w:tr>
      <w:tr w14:paraId="5FC2A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588363CD">
            <w:pPr>
              <w:jc w:val="center"/>
              <w:rPr>
                <w:rFonts w:ascii="Times New Roman" w:hAnsi="Times New Roman" w:eastAsia="宋体"/>
                <w:szCs w:val="21"/>
              </w:rPr>
            </w:pPr>
          </w:p>
        </w:tc>
        <w:tc>
          <w:tcPr>
            <w:tcW w:w="3132" w:type="dxa"/>
            <w:vAlign w:val="center"/>
          </w:tcPr>
          <w:p w14:paraId="4398A14A">
            <w:pPr>
              <w:snapToGrid w:val="0"/>
              <w:jc w:val="center"/>
              <w:rPr>
                <w:rFonts w:ascii="Times New Roman" w:hAnsi="Times New Roman" w:eastAsia="宋体"/>
                <w:szCs w:val="21"/>
              </w:rPr>
            </w:pPr>
            <w:r>
              <w:t>频率、周期</w:t>
            </w:r>
          </w:p>
        </w:tc>
        <w:tc>
          <w:tcPr>
            <w:tcW w:w="862" w:type="dxa"/>
          </w:tcPr>
          <w:p w14:paraId="51706A59">
            <w:pPr>
              <w:jc w:val="center"/>
              <w:rPr>
                <w:rFonts w:ascii="Times New Roman" w:hAnsi="Times New Roman" w:eastAsia="宋体"/>
                <w:szCs w:val="21"/>
              </w:rPr>
            </w:pPr>
          </w:p>
        </w:tc>
        <w:tc>
          <w:tcPr>
            <w:tcW w:w="4343" w:type="dxa"/>
            <w:vAlign w:val="center"/>
          </w:tcPr>
          <w:p w14:paraId="60ACC9B2">
            <w:pPr>
              <w:snapToGrid w:val="0"/>
              <w:jc w:val="center"/>
              <w:rPr>
                <w:rFonts w:ascii="Times New Roman" w:hAnsi="Times New Roman" w:eastAsia="宋体"/>
                <w:szCs w:val="21"/>
              </w:rPr>
            </w:pPr>
            <w:r>
              <w:t>3 Hz至1 MHz</w:t>
            </w:r>
          </w:p>
        </w:tc>
      </w:tr>
      <w:tr w14:paraId="5E04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3C505A70">
            <w:pPr>
              <w:jc w:val="center"/>
              <w:rPr>
                <w:rFonts w:ascii="Times New Roman" w:hAnsi="Times New Roman" w:eastAsia="宋体"/>
                <w:szCs w:val="21"/>
              </w:rPr>
            </w:pPr>
          </w:p>
        </w:tc>
        <w:tc>
          <w:tcPr>
            <w:tcW w:w="3132" w:type="dxa"/>
            <w:vAlign w:val="center"/>
          </w:tcPr>
          <w:p w14:paraId="71AA447D">
            <w:pPr>
              <w:snapToGrid w:val="0"/>
              <w:jc w:val="center"/>
              <w:rPr>
                <w:rFonts w:ascii="Times New Roman" w:hAnsi="Times New Roman" w:eastAsia="宋体"/>
                <w:szCs w:val="21"/>
              </w:rPr>
            </w:pPr>
            <w:r>
              <w:t>温度</w:t>
            </w:r>
          </w:p>
        </w:tc>
        <w:tc>
          <w:tcPr>
            <w:tcW w:w="862" w:type="dxa"/>
          </w:tcPr>
          <w:p w14:paraId="2C126C64">
            <w:pPr>
              <w:jc w:val="center"/>
              <w:rPr>
                <w:rFonts w:ascii="Times New Roman" w:hAnsi="Times New Roman" w:eastAsia="宋体"/>
                <w:szCs w:val="21"/>
              </w:rPr>
            </w:pPr>
          </w:p>
        </w:tc>
        <w:tc>
          <w:tcPr>
            <w:tcW w:w="4343" w:type="dxa"/>
            <w:vAlign w:val="center"/>
          </w:tcPr>
          <w:p w14:paraId="59D51144">
            <w:pPr>
              <w:snapToGrid w:val="0"/>
              <w:jc w:val="center"/>
              <w:rPr>
                <w:rFonts w:ascii="Times New Roman" w:hAnsi="Times New Roman" w:eastAsia="宋体"/>
                <w:szCs w:val="21"/>
              </w:rPr>
            </w:pPr>
            <w:r>
              <w:t>RTD、热电偶</w:t>
            </w:r>
          </w:p>
        </w:tc>
      </w:tr>
      <w:tr w14:paraId="7FC2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665198F2">
            <w:pPr>
              <w:jc w:val="center"/>
              <w:rPr>
                <w:rFonts w:ascii="Times New Roman" w:hAnsi="Times New Roman" w:eastAsia="宋体"/>
                <w:szCs w:val="21"/>
              </w:rPr>
            </w:pPr>
          </w:p>
        </w:tc>
        <w:tc>
          <w:tcPr>
            <w:tcW w:w="3132" w:type="dxa"/>
            <w:vAlign w:val="center"/>
          </w:tcPr>
          <w:p w14:paraId="63656C01">
            <w:pPr>
              <w:snapToGrid w:val="0"/>
              <w:jc w:val="center"/>
              <w:rPr>
                <w:rFonts w:ascii="Times New Roman" w:hAnsi="Times New Roman" w:eastAsia="宋体"/>
                <w:szCs w:val="21"/>
              </w:rPr>
            </w:pPr>
            <w:r>
              <w:t>电容</w:t>
            </w:r>
          </w:p>
        </w:tc>
        <w:tc>
          <w:tcPr>
            <w:tcW w:w="862" w:type="dxa"/>
          </w:tcPr>
          <w:p w14:paraId="44ED5860">
            <w:pPr>
              <w:jc w:val="center"/>
              <w:rPr>
                <w:rFonts w:ascii="Times New Roman" w:hAnsi="Times New Roman" w:eastAsia="宋体"/>
                <w:szCs w:val="21"/>
              </w:rPr>
            </w:pPr>
          </w:p>
        </w:tc>
        <w:tc>
          <w:tcPr>
            <w:tcW w:w="4343" w:type="dxa"/>
            <w:vAlign w:val="center"/>
          </w:tcPr>
          <w:p w14:paraId="606437EF">
            <w:pPr>
              <w:snapToGrid w:val="0"/>
              <w:jc w:val="center"/>
              <w:rPr>
                <w:rFonts w:ascii="Times New Roman" w:hAnsi="Times New Roman" w:eastAsia="宋体"/>
                <w:szCs w:val="21"/>
              </w:rPr>
            </w:pPr>
            <w:r>
              <w:t>2 nF 至 100 mF</w:t>
            </w:r>
          </w:p>
        </w:tc>
      </w:tr>
      <w:tr w14:paraId="52468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6CC9D4DB">
            <w:pPr>
              <w:jc w:val="center"/>
              <w:rPr>
                <w:rFonts w:ascii="Times New Roman" w:hAnsi="Times New Roman" w:eastAsia="宋体"/>
                <w:szCs w:val="21"/>
              </w:rPr>
            </w:pPr>
          </w:p>
        </w:tc>
        <w:tc>
          <w:tcPr>
            <w:tcW w:w="3132" w:type="dxa"/>
            <w:vAlign w:val="center"/>
          </w:tcPr>
          <w:p w14:paraId="15F7B3E5">
            <w:pPr>
              <w:snapToGrid w:val="0"/>
              <w:jc w:val="center"/>
              <w:rPr>
                <w:rFonts w:ascii="Times New Roman" w:hAnsi="Times New Roman" w:eastAsia="宋体"/>
                <w:szCs w:val="21"/>
              </w:rPr>
            </w:pPr>
            <w:r>
              <w:t>IO</w:t>
            </w:r>
          </w:p>
        </w:tc>
        <w:tc>
          <w:tcPr>
            <w:tcW w:w="862" w:type="dxa"/>
          </w:tcPr>
          <w:p w14:paraId="5ABD260A">
            <w:pPr>
              <w:jc w:val="center"/>
              <w:rPr>
                <w:rFonts w:ascii="Times New Roman" w:hAnsi="Times New Roman" w:eastAsia="宋体"/>
                <w:szCs w:val="21"/>
              </w:rPr>
            </w:pPr>
            <w:r>
              <w:rPr>
                <w:rFonts w:ascii="Times New Roman" w:hAnsi="Times New Roman" w:eastAsia="宋体"/>
                <w:szCs w:val="21"/>
              </w:rPr>
              <w:t>Hz</w:t>
            </w:r>
          </w:p>
        </w:tc>
        <w:tc>
          <w:tcPr>
            <w:tcW w:w="4343" w:type="dxa"/>
            <w:vAlign w:val="center"/>
          </w:tcPr>
          <w:p w14:paraId="25694346">
            <w:pPr>
              <w:snapToGrid w:val="0"/>
              <w:jc w:val="center"/>
              <w:rPr>
                <w:rFonts w:ascii="Times New Roman" w:hAnsi="Times New Roman" w:eastAsia="宋体"/>
                <w:szCs w:val="21"/>
              </w:rPr>
            </w:pPr>
            <w:r>
              <w:t>USB Host、USB Device、LAN</w:t>
            </w:r>
          </w:p>
        </w:tc>
      </w:tr>
      <w:tr w14:paraId="7E60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7DB5550">
            <w:pPr>
              <w:jc w:val="center"/>
              <w:rPr>
                <w:rFonts w:ascii="Times New Roman" w:hAnsi="Times New Roman" w:eastAsia="宋体"/>
                <w:szCs w:val="21"/>
              </w:rPr>
            </w:pPr>
          </w:p>
        </w:tc>
        <w:tc>
          <w:tcPr>
            <w:tcW w:w="3132" w:type="dxa"/>
            <w:vAlign w:val="center"/>
          </w:tcPr>
          <w:p w14:paraId="3464C431">
            <w:pPr>
              <w:snapToGrid w:val="0"/>
              <w:jc w:val="center"/>
              <w:rPr>
                <w:rFonts w:ascii="Times New Roman" w:hAnsi="Times New Roman" w:eastAsia="宋体"/>
                <w:szCs w:val="21"/>
              </w:rPr>
            </w:pPr>
            <w:r>
              <w:t>外部接口</w:t>
            </w:r>
          </w:p>
        </w:tc>
        <w:tc>
          <w:tcPr>
            <w:tcW w:w="862" w:type="dxa"/>
          </w:tcPr>
          <w:p w14:paraId="18C75575">
            <w:pPr>
              <w:jc w:val="center"/>
              <w:rPr>
                <w:rFonts w:ascii="Times New Roman" w:hAnsi="Times New Roman" w:eastAsia="宋体"/>
                <w:szCs w:val="21"/>
              </w:rPr>
            </w:pPr>
            <w:r>
              <w:rPr>
                <w:rFonts w:ascii="Times New Roman" w:hAnsi="Times New Roman" w:eastAsia="宋体"/>
                <w:szCs w:val="21"/>
              </w:rPr>
              <w:t>Hz</w:t>
            </w:r>
          </w:p>
        </w:tc>
        <w:tc>
          <w:tcPr>
            <w:tcW w:w="4343" w:type="dxa"/>
            <w:vAlign w:val="center"/>
          </w:tcPr>
          <w:p w14:paraId="3226322F">
            <w:pPr>
              <w:snapToGrid w:val="0"/>
              <w:jc w:val="center"/>
              <w:rPr>
                <w:rFonts w:ascii="Times New Roman" w:hAnsi="Times New Roman" w:eastAsia="宋体"/>
                <w:szCs w:val="21"/>
              </w:rPr>
            </w:pPr>
            <w:r>
              <w:t>外触发、VMC输出</w:t>
            </w:r>
          </w:p>
        </w:tc>
      </w:tr>
      <w:tr w14:paraId="64D62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4742AC01">
            <w:pPr>
              <w:jc w:val="center"/>
              <w:rPr>
                <w:rFonts w:ascii="Times New Roman" w:hAnsi="Times New Roman" w:eastAsia="宋体"/>
                <w:szCs w:val="21"/>
              </w:rPr>
            </w:pPr>
          </w:p>
        </w:tc>
        <w:tc>
          <w:tcPr>
            <w:tcW w:w="3132" w:type="dxa"/>
            <w:vAlign w:val="center"/>
          </w:tcPr>
          <w:p w14:paraId="5FC90A0A">
            <w:pPr>
              <w:snapToGrid w:val="0"/>
              <w:jc w:val="center"/>
              <w:rPr>
                <w:rFonts w:ascii="Times New Roman" w:hAnsi="Times New Roman" w:eastAsia="宋体"/>
                <w:szCs w:val="21"/>
              </w:rPr>
            </w:pPr>
            <w:r>
              <w:t>显示屏</w:t>
            </w:r>
          </w:p>
        </w:tc>
        <w:tc>
          <w:tcPr>
            <w:tcW w:w="862" w:type="dxa"/>
          </w:tcPr>
          <w:p w14:paraId="3E9313E6">
            <w:pPr>
              <w:jc w:val="center"/>
              <w:rPr>
                <w:rFonts w:ascii="Times New Roman" w:hAnsi="Times New Roman" w:eastAsia="宋体"/>
                <w:szCs w:val="21"/>
              </w:rPr>
            </w:pPr>
          </w:p>
        </w:tc>
        <w:tc>
          <w:tcPr>
            <w:tcW w:w="4343" w:type="dxa"/>
            <w:vAlign w:val="center"/>
          </w:tcPr>
          <w:p w14:paraId="2B6F3878">
            <w:pPr>
              <w:snapToGrid w:val="0"/>
              <w:jc w:val="center"/>
              <w:rPr>
                <w:rFonts w:ascii="Times New Roman" w:hAnsi="Times New Roman" w:eastAsia="宋体"/>
                <w:szCs w:val="21"/>
              </w:rPr>
            </w:pPr>
            <w:r>
              <w:t>5寸TFT显示屏、触摸</w:t>
            </w:r>
            <w:r>
              <w:rPr>
                <w:rFonts w:hint="eastAsia"/>
              </w:rPr>
              <w:t>屏</w:t>
            </w:r>
          </w:p>
        </w:tc>
      </w:tr>
    </w:tbl>
    <w:p w14:paraId="00D509B1">
      <w:pPr>
        <w:pStyle w:val="9"/>
        <w:spacing w:before="239" w:line="360" w:lineRule="auto"/>
        <w:rPr>
          <w:rFonts w:ascii="Times New Roman" w:hAnsi="Times New Roman" w:eastAsia="宋体"/>
          <w:b/>
          <w:bCs/>
          <w:spacing w:val="-3"/>
          <w:sz w:val="24"/>
          <w:szCs w:val="24"/>
        </w:rPr>
      </w:pPr>
      <w:r>
        <w:rPr>
          <w:rFonts w:hint="eastAsia" w:ascii="Times New Roman" w:hAnsi="Times New Roman" w:eastAsia="宋体"/>
          <w:b/>
          <w:bCs/>
          <w:spacing w:val="-3"/>
          <w:sz w:val="24"/>
          <w:szCs w:val="24"/>
        </w:rPr>
        <w:t>六、</w:t>
      </w:r>
      <w:r>
        <w:rPr>
          <w:rFonts w:ascii="Times New Roman" w:hAnsi="Times New Roman" w:eastAsia="宋体"/>
          <w:b/>
          <w:bCs/>
          <w:spacing w:val="-3"/>
          <w:sz w:val="24"/>
          <w:szCs w:val="24"/>
        </w:rPr>
        <w:t>主要技术要求</w:t>
      </w:r>
    </w:p>
    <w:p w14:paraId="7B22B555">
      <w:pPr>
        <w:widowControl/>
        <w:spacing w:line="360" w:lineRule="auto"/>
        <w:jc w:val="left"/>
      </w:pPr>
      <w:r>
        <w:rPr>
          <w:rFonts w:ascii="Times New Roman" w:hAnsi="Times New Roman" w:eastAsia="宋体"/>
          <w:bCs/>
          <w:sz w:val="24"/>
          <w:szCs w:val="24"/>
        </w:rPr>
        <w:t>1</w:t>
      </w:r>
      <w:r>
        <w:rPr>
          <w:rFonts w:hint="eastAsia" w:ascii="Times New Roman" w:hAnsi="Times New Roman" w:eastAsia="宋体"/>
          <w:bCs/>
          <w:sz w:val="24"/>
          <w:szCs w:val="24"/>
        </w:rPr>
        <w:t>、</w:t>
      </w:r>
      <w:r>
        <w:t>5 英寸真彩 TFT-LCD 大 屏 显 示 ， 分 辨 率 800*480</w:t>
      </w:r>
      <w:r>
        <w:rPr>
          <w:rFonts w:hint="eastAsia"/>
        </w:rPr>
        <w:t>。</w:t>
      </w:r>
      <w:r>
        <w:t xml:space="preserve">6½ 位读数分辨率（2,200,000 count） </w:t>
      </w:r>
    </w:p>
    <w:p w14:paraId="11C822B3">
      <w:pPr>
        <w:widowControl/>
        <w:spacing w:line="360" w:lineRule="auto"/>
        <w:jc w:val="left"/>
      </w:pPr>
      <w:r>
        <w:t>2</w:t>
      </w:r>
      <w:r>
        <w:rPr>
          <w:rFonts w:hint="eastAsia"/>
        </w:rPr>
        <w:t>、</w:t>
      </w:r>
      <w:r>
        <w:t>读数速率最大至 50k rdgs/s，支持最大 100 PLC， 最小 0.001 PLC 采样间隔 512MB RAM 存储器，可支持大至 2M 读数点缓 存 256MB Nand-Flash，支持读数点，图片，配置文 件等多种类型文件存储</w:t>
      </w:r>
      <w:r>
        <w:rPr>
          <w:rFonts w:hint="eastAsia"/>
        </w:rPr>
        <w:t>。</w:t>
      </w:r>
    </w:p>
    <w:p w14:paraId="63BCCC54">
      <w:pPr>
        <w:widowControl/>
        <w:spacing w:line="360" w:lineRule="auto"/>
        <w:jc w:val="left"/>
      </w:pPr>
      <w:r>
        <w:t>3</w:t>
      </w:r>
      <w:r>
        <w:rPr>
          <w:rFonts w:hint="eastAsia"/>
        </w:rPr>
        <w:t>、</w:t>
      </w:r>
      <w:r>
        <w:t xml:space="preserve"> </w:t>
      </w:r>
      <w:r>
        <w:rPr>
          <w:rFonts w:hint="eastAsia"/>
        </w:rPr>
        <w:t>多</w:t>
      </w:r>
      <w:r>
        <w:t>种触发模式，自动触发，单次触发，外触发及 电平触发模式，数字显示，条形图，趋势图，直方图 直流测量具有自动调零和偏移补偿功能</w:t>
      </w:r>
      <w:r>
        <w:rPr>
          <w:rFonts w:hint="eastAsia"/>
        </w:rPr>
        <w:t>，</w:t>
      </w:r>
      <w:r>
        <w:t xml:space="preserve">真有效值交流电压和交流电流测量 支持自动切换 </w:t>
      </w:r>
    </w:p>
    <w:p w14:paraId="2E81B386">
      <w:pPr>
        <w:widowControl/>
        <w:spacing w:line="360" w:lineRule="auto"/>
        <w:jc w:val="left"/>
      </w:pPr>
      <w:r>
        <w:t>4</w:t>
      </w:r>
      <w:r>
        <w:rPr>
          <w:rFonts w:hint="eastAsia"/>
        </w:rPr>
        <w:t>、</w:t>
      </w:r>
      <w:r>
        <w:t>10 A 大电流和 3 A 小电流测量模 式，配合外置分流器最大可测试至 30 A 支持热电偶、热电阻温度传感器及自定义传感器 功能 支持双显示、探头保持功能</w:t>
      </w:r>
      <w:r>
        <w:rPr>
          <w:rFonts w:hint="eastAsia"/>
        </w:rPr>
        <w:t>、</w:t>
      </w:r>
      <w:r>
        <w:t xml:space="preserve">支持标准 SCPI 远程控制命令、上位机软件、兼容最新主流万用表命令集 配备上位机软件，可通过上位机实现对设备和扫描卡控制 </w:t>
      </w:r>
    </w:p>
    <w:p w14:paraId="19A1B589">
      <w:pPr>
        <w:widowControl/>
        <w:spacing w:line="360" w:lineRule="auto"/>
        <w:jc w:val="left"/>
        <w:rPr>
          <w:rFonts w:ascii="Times New Roman" w:hAnsi="Times New Roman" w:eastAsia="宋体"/>
          <w:bCs/>
          <w:sz w:val="24"/>
          <w:szCs w:val="24"/>
        </w:rPr>
      </w:pPr>
      <w:r>
        <w:t>5</w:t>
      </w:r>
      <w:r>
        <w:rPr>
          <w:rFonts w:hint="eastAsia"/>
        </w:rPr>
        <w:t>、</w:t>
      </w:r>
      <w:r>
        <w:t>配置接口：USB Device（选购 USB-GPIB 适配 器），USB Host，LAN 支持 BNC VMC 输出，Trigger 输入 支持 VNC, Web-server 中英文菜单，内置帮助系统方便信息</w:t>
      </w:r>
      <w:r>
        <w:rPr>
          <w:rFonts w:hint="eastAsia"/>
        </w:rPr>
        <w:t>获</w:t>
      </w:r>
      <w:r>
        <w:t>取</w:t>
      </w:r>
      <w:r>
        <w:rPr>
          <w:rFonts w:hint="eastAsia"/>
        </w:rPr>
        <w:t>。</w:t>
      </w:r>
    </w:p>
    <w:p w14:paraId="6BBDF7F9">
      <w:pPr>
        <w:widowControl/>
        <w:spacing w:line="360" w:lineRule="auto"/>
        <w:jc w:val="left"/>
        <w:rPr>
          <w:rFonts w:ascii="Times New Roman" w:hAnsi="Times New Roman" w:eastAsia="宋体"/>
          <w:bCs/>
          <w:sz w:val="24"/>
          <w:szCs w:val="24"/>
        </w:rPr>
      </w:pPr>
    </w:p>
    <w:p w14:paraId="71DEF5ED">
      <w:pPr>
        <w:spacing w:line="360" w:lineRule="auto"/>
        <w:rPr>
          <w:rFonts w:ascii="Times New Roman" w:hAnsi="Times New Roman" w:eastAsia="宋体"/>
          <w:b/>
          <w:bCs/>
          <w:spacing w:val="-3"/>
          <w:sz w:val="24"/>
          <w:szCs w:val="24"/>
        </w:rPr>
      </w:pPr>
      <w:r>
        <w:rPr>
          <w:rFonts w:ascii="Times New Roman" w:hAnsi="Times New Roman" w:eastAsia="宋体"/>
          <w:b/>
          <w:sz w:val="24"/>
          <w:szCs w:val="24"/>
        </w:rPr>
        <w:t>七、</w:t>
      </w:r>
      <w:r>
        <w:rPr>
          <w:rFonts w:ascii="Times New Roman" w:hAnsi="Times New Roman" w:eastAsia="宋体"/>
          <w:b/>
          <w:spacing w:val="-3"/>
          <w:sz w:val="24"/>
          <w:szCs w:val="24"/>
        </w:rPr>
        <w:t>采</w:t>
      </w:r>
      <w:r>
        <w:rPr>
          <w:rFonts w:ascii="Times New Roman" w:hAnsi="Times New Roman" w:eastAsia="宋体"/>
          <w:b/>
          <w:bCs/>
          <w:spacing w:val="-3"/>
          <w:sz w:val="24"/>
          <w:szCs w:val="24"/>
        </w:rPr>
        <w:t>用的主要技术标准规范：</w:t>
      </w:r>
    </w:p>
    <w:p w14:paraId="5CE68779">
      <w:pPr>
        <w:widowControl/>
        <w:spacing w:line="360" w:lineRule="auto"/>
        <w:ind w:firstLine="480" w:firstLineChars="200"/>
        <w:jc w:val="left"/>
        <w:rPr>
          <w:rFonts w:ascii="Times New Roman" w:hAnsi="Times New Roman" w:eastAsia="宋体"/>
          <w:bCs/>
          <w:sz w:val="24"/>
          <w:szCs w:val="24"/>
        </w:rPr>
      </w:pPr>
      <w:r>
        <w:rPr>
          <w:rFonts w:hint="eastAsia" w:ascii="Times New Roman" w:hAnsi="Times New Roman" w:eastAsia="宋体"/>
          <w:bCs/>
          <w:sz w:val="24"/>
          <w:szCs w:val="24"/>
        </w:rPr>
        <w:t>1、设备</w:t>
      </w:r>
      <w:r>
        <w:rPr>
          <w:sz w:val="24"/>
          <w:szCs w:val="24"/>
        </w:rPr>
        <w:t>符合EMC指令（2014/30/EU），符合或者优于 IEC 61000</w:t>
      </w:r>
      <w:r>
        <w:rPr>
          <w:rFonts w:hint="eastAsia"/>
          <w:sz w:val="24"/>
          <w:szCs w:val="24"/>
        </w:rPr>
        <w:t>相关标准</w:t>
      </w:r>
      <w:r>
        <w:rPr>
          <w:rFonts w:ascii="Times New Roman" w:hAnsi="Times New Roman" w:eastAsia="宋体"/>
          <w:bCs/>
          <w:sz w:val="24"/>
          <w:szCs w:val="24"/>
        </w:rPr>
        <w:t>。</w:t>
      </w:r>
    </w:p>
    <w:p w14:paraId="7DE66537">
      <w:pPr>
        <w:widowControl/>
        <w:spacing w:line="360" w:lineRule="auto"/>
        <w:ind w:firstLine="480" w:firstLineChars="200"/>
        <w:jc w:val="left"/>
        <w:rPr>
          <w:rFonts w:ascii="Times New Roman" w:hAnsi="Times New Roman" w:eastAsia="宋体"/>
          <w:b/>
          <w:bCs/>
          <w:sz w:val="24"/>
          <w:szCs w:val="24"/>
        </w:rPr>
      </w:pPr>
      <w:r>
        <w:rPr>
          <w:rFonts w:ascii="Times New Roman" w:hAnsi="Times New Roman" w:eastAsia="宋体"/>
          <w:bCs/>
          <w:sz w:val="24"/>
          <w:szCs w:val="24"/>
        </w:rPr>
        <w:t>2</w:t>
      </w:r>
      <w:r>
        <w:rPr>
          <w:rFonts w:hint="eastAsia" w:ascii="Times New Roman" w:hAnsi="Times New Roman" w:eastAsia="宋体"/>
          <w:bCs/>
          <w:sz w:val="24"/>
          <w:szCs w:val="24"/>
        </w:rPr>
        <w:t>、</w:t>
      </w:r>
      <w:r>
        <w:t>安全性</w:t>
      </w:r>
      <w:r>
        <w:rPr>
          <w:rFonts w:hint="eastAsia"/>
        </w:rPr>
        <w:t>符合：</w:t>
      </w:r>
      <w:r>
        <w:t>符合低压指令（2006 / 95 / EC），符合标准EN61010－1:2010</w:t>
      </w:r>
      <w:r>
        <w:rPr>
          <w:rFonts w:hint="eastAsia"/>
        </w:rPr>
        <w:t>。</w:t>
      </w:r>
      <w:r>
        <w:rPr>
          <w:rFonts w:ascii="Times New Roman" w:hAnsi="Times New Roman" w:eastAsia="宋体"/>
          <w:b/>
          <w:bCs/>
          <w:spacing w:val="4"/>
          <w:sz w:val="24"/>
          <w:szCs w:val="24"/>
        </w:rPr>
        <w:t>八、供货要求</w:t>
      </w:r>
    </w:p>
    <w:p w14:paraId="0AC5ECD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1、需方提出的是最低限度的技术要求，投标厂家提供的设备必须满足所有技术参数要求，并对产品技术性能负责。</w:t>
      </w:r>
    </w:p>
    <w:p w14:paraId="661C93C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2、供方必须保证其产品是经过实际使用验证且安全可靠的，应提供投标产品的业绩合同及对应发票。</w:t>
      </w:r>
    </w:p>
    <w:p w14:paraId="715D392A">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3、投标方应满足本技术规格书的所有要求，并与需方技术主管部门进行充分技术沟通，结合实际工况共同确定相关定制件的具体要求，以确保投标产品的及时供货和正常使用。</w:t>
      </w:r>
    </w:p>
    <w:p w14:paraId="2066E93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4、投标方按规定要求提供产品合格证，产品说明书和安装、操作、维护培训手册。</w:t>
      </w:r>
    </w:p>
    <w:p w14:paraId="270E68B5">
      <w:pPr>
        <w:pStyle w:val="9"/>
        <w:spacing w:before="50" w:line="360" w:lineRule="auto"/>
        <w:rPr>
          <w:rFonts w:ascii="Times New Roman" w:hAnsi="Times New Roman" w:eastAsia="宋体"/>
          <w:b/>
          <w:bCs/>
          <w:sz w:val="24"/>
          <w:szCs w:val="24"/>
        </w:rPr>
      </w:pPr>
      <w:r>
        <w:rPr>
          <w:rFonts w:ascii="Times New Roman" w:hAnsi="Times New Roman" w:eastAsia="宋体"/>
          <w:b/>
          <w:bCs/>
          <w:spacing w:val="4"/>
          <w:sz w:val="24"/>
          <w:szCs w:val="24"/>
        </w:rPr>
        <w:t>九、质保期及售后服务</w:t>
      </w:r>
    </w:p>
    <w:p w14:paraId="6ED3AD49">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1、质保期为货到安装调试验收合格后3年。</w:t>
      </w:r>
    </w:p>
    <w:p w14:paraId="49ABB8F0">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w:t>
      </w:r>
      <w:r>
        <w:rPr>
          <w:rFonts w:hint="eastAsia" w:ascii="Times New Roman" w:hAnsi="Times New Roman" w:eastAsia="宋体"/>
          <w:bCs/>
          <w:sz w:val="24"/>
          <w:szCs w:val="24"/>
        </w:rPr>
        <w:t>支持</w:t>
      </w:r>
      <w:r>
        <w:rPr>
          <w:rFonts w:ascii="Times New Roman" w:hAnsi="Times New Roman" w:eastAsia="宋体"/>
          <w:bCs/>
          <w:sz w:val="24"/>
          <w:szCs w:val="24"/>
        </w:rPr>
        <w:t>服务。</w:t>
      </w:r>
    </w:p>
    <w:p w14:paraId="5BE2ACE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3、中标方负责技术培训，培训内容包括产品结构及维护、操作，通过培训，操作人员能掌握有关操作和维修养护技能，及时处理各种故障。</w:t>
      </w:r>
    </w:p>
    <w:p w14:paraId="2210BC7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4、中标单位应提供规范、标准、可靠的售后服务体系。</w:t>
      </w:r>
    </w:p>
    <w:p w14:paraId="771BF0AE">
      <w:pPr>
        <w:rPr>
          <w:rFonts w:ascii="Times New Roman" w:hAnsi="Times New Roman" w:eastAsia="宋体"/>
          <w:b/>
          <w:bCs/>
          <w:sz w:val="28"/>
          <w:szCs w:val="28"/>
        </w:rPr>
      </w:pPr>
    </w:p>
    <w:bookmarkEnd w:id="1"/>
    <w:p w14:paraId="05ED4B49">
      <w:pPr>
        <w:rPr>
          <w:rFonts w:ascii="Times New Roman" w:hAnsi="Times New Roma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0000000000000000000"/>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Courier New">
    <w:panose1 w:val="02070309020205020404"/>
    <w:charset w:val="00"/>
    <w:family w:val="modern"/>
    <w:pitch w:val="default"/>
    <w:sig w:usb0="E0002EFF" w:usb1="C0007843" w:usb2="00000009" w:usb3="00000000" w:csb0="400001FF" w:csb1="FFFF0000"/>
  </w:font>
  <w:font w:name="华文宋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embedRegular r:id="rId1" w:fontKey="{44ADBE3E-A0BD-49F9-B1B0-8BAA75793ACE}"/>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embedRegular r:id="rId2" w:fontKey="{5BE2E1AF-30EF-4CA7-B410-5A5879F421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41703">
    <w:pPr>
      <w:pStyle w:val="16"/>
      <w:jc w:val="center"/>
      <w:rPr>
        <w:rStyle w:val="29"/>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E3595">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B710E"/>
    <w:multiLevelType w:val="singleLevel"/>
    <w:tmpl w:val="B9FB710E"/>
    <w:lvl w:ilvl="0" w:tentative="0">
      <w:start w:val="5"/>
      <w:numFmt w:val="chineseCounting"/>
      <w:suff w:val="nothing"/>
      <w:lvlText w:val="%1、"/>
      <w:lvlJc w:val="left"/>
      <w:rPr>
        <w:rFonts w:hint="eastAsia"/>
      </w:rPr>
    </w:lvl>
  </w:abstractNum>
  <w:abstractNum w:abstractNumId="1">
    <w:nsid w:val="CF6EE53C"/>
    <w:multiLevelType w:val="singleLevel"/>
    <w:tmpl w:val="CF6EE53C"/>
    <w:lvl w:ilvl="0" w:tentative="0">
      <w:start w:val="5"/>
      <w:numFmt w:val="decimal"/>
      <w:pStyle w:val="2"/>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D4A"/>
    <w:rsid w:val="0000528F"/>
    <w:rsid w:val="00025D9C"/>
    <w:rsid w:val="000E6D8D"/>
    <w:rsid w:val="000F1570"/>
    <w:rsid w:val="00117E07"/>
    <w:rsid w:val="00150BD2"/>
    <w:rsid w:val="00165E5B"/>
    <w:rsid w:val="00195B07"/>
    <w:rsid w:val="001C2748"/>
    <w:rsid w:val="001D4A04"/>
    <w:rsid w:val="001F0808"/>
    <w:rsid w:val="001F17A7"/>
    <w:rsid w:val="00295F58"/>
    <w:rsid w:val="002B752F"/>
    <w:rsid w:val="002D5672"/>
    <w:rsid w:val="00316E57"/>
    <w:rsid w:val="0032110C"/>
    <w:rsid w:val="00335D62"/>
    <w:rsid w:val="0034112C"/>
    <w:rsid w:val="00350C81"/>
    <w:rsid w:val="003A540F"/>
    <w:rsid w:val="003A788C"/>
    <w:rsid w:val="003B13F7"/>
    <w:rsid w:val="00417EED"/>
    <w:rsid w:val="004321F8"/>
    <w:rsid w:val="0043326D"/>
    <w:rsid w:val="00532404"/>
    <w:rsid w:val="00536497"/>
    <w:rsid w:val="005C201B"/>
    <w:rsid w:val="006100A7"/>
    <w:rsid w:val="00731A5D"/>
    <w:rsid w:val="0079465D"/>
    <w:rsid w:val="008027E0"/>
    <w:rsid w:val="008D27B1"/>
    <w:rsid w:val="0090726C"/>
    <w:rsid w:val="0095195A"/>
    <w:rsid w:val="0095712D"/>
    <w:rsid w:val="00A4099A"/>
    <w:rsid w:val="00A44FE6"/>
    <w:rsid w:val="00A73966"/>
    <w:rsid w:val="00B17D4A"/>
    <w:rsid w:val="00B36ABF"/>
    <w:rsid w:val="00B76B44"/>
    <w:rsid w:val="00B9532A"/>
    <w:rsid w:val="00BC275D"/>
    <w:rsid w:val="00C66EB8"/>
    <w:rsid w:val="00C76D2B"/>
    <w:rsid w:val="00CB5DE3"/>
    <w:rsid w:val="00CD385D"/>
    <w:rsid w:val="00CF7C2F"/>
    <w:rsid w:val="00D04F10"/>
    <w:rsid w:val="00D12DD5"/>
    <w:rsid w:val="00D363F5"/>
    <w:rsid w:val="00E17F76"/>
    <w:rsid w:val="00E627C7"/>
    <w:rsid w:val="00E66D4F"/>
    <w:rsid w:val="00E7569F"/>
    <w:rsid w:val="00E869CF"/>
    <w:rsid w:val="00E93645"/>
    <w:rsid w:val="00EC42D8"/>
    <w:rsid w:val="00EC7741"/>
    <w:rsid w:val="00F16E49"/>
    <w:rsid w:val="00F937B8"/>
    <w:rsid w:val="00FC3D4D"/>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B36B4F"/>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after="26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b/>
      <w:bCs/>
      <w:caps/>
      <w:kern w:val="44"/>
      <w:sz w:val="24"/>
      <w:szCs w:val="21"/>
    </w:rPr>
  </w:style>
  <w:style w:type="paragraph" w:styleId="20">
    <w:name w:val="table of figures"/>
    <w:basedOn w:val="1"/>
    <w:next w:val="1"/>
    <w:qFormat/>
    <w:uiPriority w:val="0"/>
    <w:pPr>
      <w:ind w:left="200" w:leftChars="200" w:hanging="200" w:hangingChars="200"/>
    </w:pPr>
  </w:style>
  <w:style w:type="paragraph" w:styleId="21">
    <w:name w:val="toc 2"/>
    <w:basedOn w:val="1"/>
    <w:next w:val="1"/>
    <w:qFormat/>
    <w:uiPriority w:val="0"/>
    <w:pPr>
      <w:ind w:left="420" w:leftChars="200"/>
    </w:p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eastAsia="en-US"/>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1577</Words>
  <Characters>1833</Characters>
  <Lines>102</Lines>
  <Paragraphs>99</Paragraphs>
  <TotalTime>47</TotalTime>
  <ScaleCrop>false</ScaleCrop>
  <LinksUpToDate>false</LinksUpToDate>
  <CharactersWithSpaces>1950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2025-08-12T05:11:00Z</dcterms:created>
  <dc:creator>bin</dc:creator>
  <cp:lastModifiedBy>方桂林</cp:lastModifiedBy>
  <dcterms:modified xsi:type="dcterms:W3CDTF">2025-12-15T00:53:35Z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DB083858BD3B488A97CA2AA0C1BE3A28</vt:lpwstr>
  </property>
  <property fmtid="{D5CDD505-2E9C-101B-9397-08002B2CF9AE}" pid="4" name="KSOTemplateDocerSaveRecord">
    <vt:lpwstr>eyJoZGlkIjoiZTIzODM1YmUwNzVlMGZmZGFjOWE0Zjg1ZWM3YzU0YzYiLCJ1c2VySWQiOiI0MzY0ODkwNDIifQ==</vt:lpwstr>
  </property>
</Properties>
</file>