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6B63F">
      <w:pPr>
        <w:spacing w:line="360" w:lineRule="auto"/>
        <w:jc w:val="center"/>
        <w:rPr>
          <w:rFonts w:ascii="方正小标宋简体" w:hAnsi="方正小标宋简体" w:eastAsia="方正小标宋简体"/>
          <w:color w:val="auto"/>
          <w:sz w:val="32"/>
          <w:szCs w:val="32"/>
        </w:rPr>
      </w:pPr>
      <w:r>
        <w:rPr>
          <w:rFonts w:hint="eastAsia" w:ascii="方正小标宋简体" w:hAnsi="方正小标宋简体" w:eastAsia="方正小标宋简体"/>
          <w:color w:val="auto"/>
          <w:sz w:val="32"/>
          <w:szCs w:val="32"/>
          <w:lang w:val="en-US" w:eastAsia="zh-CN"/>
        </w:rPr>
        <w:t>北京</w:t>
      </w:r>
      <w:r>
        <w:rPr>
          <w:rFonts w:hint="eastAsia" w:ascii="方正小标宋简体" w:hAnsi="方正小标宋简体" w:eastAsia="方正小标宋简体"/>
          <w:color w:val="auto"/>
          <w:sz w:val="32"/>
          <w:szCs w:val="32"/>
        </w:rPr>
        <w:t>分</w:t>
      </w:r>
      <w:r>
        <w:rPr>
          <w:rFonts w:ascii="方正小标宋简体" w:hAnsi="方正小标宋简体" w:eastAsia="方正小标宋简体"/>
          <w:color w:val="auto"/>
          <w:sz w:val="32"/>
          <w:szCs w:val="32"/>
        </w:rPr>
        <w:t>公司统一标识制作</w:t>
      </w:r>
      <w:r>
        <w:rPr>
          <w:rFonts w:hint="eastAsia" w:ascii="方正小标宋简体" w:hAnsi="方正小标宋简体" w:eastAsia="方正小标宋简体"/>
          <w:color w:val="auto"/>
          <w:sz w:val="32"/>
          <w:szCs w:val="32"/>
        </w:rPr>
        <w:t>及</w:t>
      </w:r>
      <w:r>
        <w:rPr>
          <w:rFonts w:ascii="方正小标宋简体" w:hAnsi="方正小标宋简体" w:eastAsia="方正小标宋简体"/>
          <w:color w:val="auto"/>
          <w:sz w:val="32"/>
          <w:szCs w:val="32"/>
        </w:rPr>
        <w:t>安装项目</w:t>
      </w:r>
      <w:r>
        <w:rPr>
          <w:rFonts w:hint="eastAsia" w:ascii="方正小标宋简体" w:hAnsi="方正小标宋简体" w:eastAsia="方正小标宋简体"/>
          <w:color w:val="auto"/>
          <w:sz w:val="32"/>
          <w:szCs w:val="32"/>
        </w:rPr>
        <w:t>询比价文件</w:t>
      </w:r>
    </w:p>
    <w:p w14:paraId="07A52986">
      <w:pPr>
        <w:spacing w:line="360" w:lineRule="auto"/>
        <w:ind w:firstLine="480" w:firstLineChars="200"/>
        <w:jc w:val="both"/>
        <w:rPr>
          <w:rFonts w:ascii="黑体" w:hAnsi="黑体" w:eastAsia="黑体"/>
          <w:color w:val="auto"/>
        </w:rPr>
      </w:pPr>
      <w:r>
        <w:rPr>
          <w:rFonts w:ascii="黑体" w:hAnsi="黑体" w:eastAsia="黑体"/>
          <w:color w:val="auto"/>
        </w:rPr>
        <w:t>一、项目概况</w:t>
      </w:r>
    </w:p>
    <w:p w14:paraId="6636BAA4">
      <w:pPr>
        <w:spacing w:line="360" w:lineRule="auto"/>
        <w:ind w:firstLine="480" w:firstLineChars="200"/>
        <w:jc w:val="both"/>
        <w:rPr>
          <w:rFonts w:ascii="仿宋" w:hAnsi="仿宋" w:eastAsia="仿宋"/>
          <w:color w:val="auto"/>
        </w:rPr>
      </w:pPr>
      <w:r>
        <w:rPr>
          <w:rFonts w:ascii="仿宋" w:hAnsi="仿宋" w:eastAsia="仿宋"/>
          <w:color w:val="auto"/>
        </w:rPr>
        <w:t>项目名称：</w:t>
      </w:r>
      <w:r>
        <w:rPr>
          <w:rFonts w:hint="eastAsia" w:ascii="仿宋" w:hAnsi="仿宋" w:eastAsia="仿宋"/>
          <w:color w:val="auto"/>
          <w:lang w:val="en-US" w:eastAsia="zh-CN"/>
        </w:rPr>
        <w:t>北京</w:t>
      </w:r>
      <w:r>
        <w:rPr>
          <w:rFonts w:hint="eastAsia" w:ascii="仿宋" w:hAnsi="仿宋" w:eastAsia="仿宋"/>
          <w:color w:val="auto"/>
        </w:rPr>
        <w:t>分</w:t>
      </w:r>
      <w:r>
        <w:rPr>
          <w:rFonts w:ascii="仿宋" w:hAnsi="仿宋" w:eastAsia="仿宋"/>
          <w:color w:val="auto"/>
        </w:rPr>
        <w:t>公司统一标识制作</w:t>
      </w:r>
      <w:r>
        <w:rPr>
          <w:rFonts w:hint="eastAsia" w:ascii="仿宋" w:hAnsi="仿宋" w:eastAsia="仿宋"/>
          <w:color w:val="auto"/>
        </w:rPr>
        <w:t>及</w:t>
      </w:r>
      <w:r>
        <w:rPr>
          <w:rFonts w:ascii="仿宋" w:hAnsi="仿宋" w:eastAsia="仿宋"/>
          <w:color w:val="auto"/>
        </w:rPr>
        <w:t>安装项目</w:t>
      </w:r>
    </w:p>
    <w:p w14:paraId="5CA311EC">
      <w:pPr>
        <w:spacing w:line="360" w:lineRule="auto"/>
        <w:ind w:firstLine="480" w:firstLineChars="200"/>
        <w:jc w:val="both"/>
        <w:rPr>
          <w:rFonts w:ascii="仿宋" w:hAnsi="仿宋" w:eastAsia="仿宋"/>
          <w:color w:val="auto"/>
        </w:rPr>
      </w:pPr>
      <w:r>
        <w:rPr>
          <w:rFonts w:hint="eastAsia" w:ascii="仿宋" w:hAnsi="仿宋" w:eastAsia="仿宋"/>
          <w:color w:val="auto"/>
        </w:rPr>
        <w:t>项目地点：</w:t>
      </w:r>
      <w:r>
        <w:rPr>
          <w:rFonts w:hint="eastAsia" w:ascii="仿宋" w:hAnsi="仿宋" w:eastAsia="仿宋" w:cs="宋体"/>
          <w:color w:val="auto"/>
          <w:kern w:val="0"/>
          <w:sz w:val="24"/>
          <w:szCs w:val="24"/>
          <w:lang w:val="en-US" w:eastAsia="zh-CN" w:bidi="ar-SA"/>
        </w:rPr>
        <w:t>海淀区首体南路国兴大厦23楼2315室</w:t>
      </w:r>
    </w:p>
    <w:p w14:paraId="762641E0">
      <w:pPr>
        <w:spacing w:line="360" w:lineRule="auto"/>
        <w:ind w:firstLine="480" w:firstLineChars="200"/>
        <w:jc w:val="both"/>
        <w:rPr>
          <w:rFonts w:hint="default" w:ascii="仿宋" w:hAnsi="仿宋" w:eastAsia="仿宋"/>
          <w:color w:val="auto"/>
          <w:lang w:val="en-US" w:eastAsia="zh-CN"/>
        </w:rPr>
      </w:pPr>
      <w:r>
        <w:rPr>
          <w:rFonts w:hint="eastAsia" w:ascii="仿宋" w:hAnsi="仿宋" w:eastAsia="仿宋"/>
          <w:color w:val="auto"/>
        </w:rPr>
        <w:t>控制价（合计金额）：</w:t>
      </w:r>
      <w:r>
        <w:rPr>
          <w:rFonts w:hint="eastAsia" w:ascii="仿宋" w:hAnsi="仿宋" w:eastAsia="仿宋"/>
          <w:color w:val="auto"/>
          <w:lang w:val="en-US" w:eastAsia="zh-CN"/>
        </w:rPr>
        <w:t>16000.00</w:t>
      </w:r>
    </w:p>
    <w:p w14:paraId="34BA32C6">
      <w:pPr>
        <w:spacing w:line="360" w:lineRule="auto"/>
        <w:ind w:firstLine="480" w:firstLineChars="200"/>
        <w:jc w:val="both"/>
        <w:rPr>
          <w:rFonts w:ascii="仿宋" w:hAnsi="仿宋" w:eastAsia="仿宋"/>
          <w:color w:val="auto"/>
        </w:rPr>
      </w:pPr>
      <w:r>
        <w:rPr>
          <w:rFonts w:ascii="仿宋" w:hAnsi="仿宋" w:eastAsia="仿宋"/>
          <w:color w:val="auto"/>
        </w:rPr>
        <w:t>服务</w:t>
      </w:r>
      <w:r>
        <w:rPr>
          <w:rFonts w:hint="eastAsia" w:ascii="仿宋" w:hAnsi="仿宋" w:eastAsia="仿宋"/>
          <w:color w:val="auto"/>
        </w:rPr>
        <w:t>范围：</w:t>
      </w:r>
      <w:r>
        <w:rPr>
          <w:rFonts w:ascii="仿宋" w:hAnsi="仿宋" w:eastAsia="仿宋"/>
          <w:color w:val="auto"/>
        </w:rPr>
        <w:t>按照公司提供的</w:t>
      </w:r>
      <w:r>
        <w:rPr>
          <w:rFonts w:hint="eastAsia" w:ascii="仿宋" w:hAnsi="仿宋" w:eastAsia="仿宋"/>
          <w:color w:val="auto"/>
        </w:rPr>
        <w:t>分公司</w:t>
      </w:r>
      <w:r>
        <w:rPr>
          <w:rFonts w:ascii="仿宋" w:hAnsi="仿宋" w:eastAsia="仿宋"/>
          <w:color w:val="auto"/>
        </w:rPr>
        <w:t>统一设计方案、制作清单</w:t>
      </w:r>
      <w:r>
        <w:rPr>
          <w:rFonts w:hint="eastAsia" w:ascii="仿宋" w:hAnsi="仿宋" w:eastAsia="仿宋"/>
          <w:color w:val="auto"/>
        </w:rPr>
        <w:t>（详见附件）</w:t>
      </w:r>
      <w:r>
        <w:rPr>
          <w:rFonts w:ascii="仿宋" w:hAnsi="仿宋" w:eastAsia="仿宋"/>
          <w:color w:val="auto"/>
        </w:rPr>
        <w:t>，完成</w:t>
      </w:r>
      <w:r>
        <w:rPr>
          <w:rFonts w:hint="eastAsia" w:ascii="仿宋" w:hAnsi="仿宋" w:eastAsia="仿宋"/>
          <w:color w:val="auto"/>
        </w:rPr>
        <w:t>现场勘察、深化设计，以及</w:t>
      </w:r>
      <w:r>
        <w:rPr>
          <w:rFonts w:ascii="仿宋" w:hAnsi="仿宋" w:eastAsia="仿宋"/>
          <w:color w:val="auto"/>
        </w:rPr>
        <w:t>原材料采购、生产制作、包装运输、现场安装</w:t>
      </w:r>
      <w:r>
        <w:rPr>
          <w:rFonts w:hint="eastAsia" w:ascii="仿宋" w:hAnsi="仿宋" w:eastAsia="仿宋"/>
          <w:color w:val="auto"/>
        </w:rPr>
        <w:t>、项目验收、</w:t>
      </w:r>
      <w:r>
        <w:rPr>
          <w:rFonts w:ascii="仿宋" w:hAnsi="仿宋" w:eastAsia="仿宋"/>
          <w:color w:val="auto"/>
        </w:rPr>
        <w:t>后期质保</w:t>
      </w:r>
      <w:r>
        <w:rPr>
          <w:rFonts w:hint="eastAsia" w:ascii="仿宋" w:hAnsi="仿宋" w:eastAsia="仿宋"/>
          <w:color w:val="auto"/>
        </w:rPr>
        <w:t>等</w:t>
      </w:r>
      <w:r>
        <w:rPr>
          <w:rFonts w:ascii="仿宋" w:hAnsi="仿宋" w:eastAsia="仿宋"/>
          <w:color w:val="auto"/>
        </w:rPr>
        <w:t>服务。</w:t>
      </w:r>
    </w:p>
    <w:p w14:paraId="663AAE45">
      <w:pPr>
        <w:spacing w:line="360" w:lineRule="auto"/>
        <w:ind w:firstLine="480" w:firstLineChars="200"/>
        <w:jc w:val="both"/>
        <w:rPr>
          <w:rFonts w:ascii="黑体" w:hAnsi="黑体" w:eastAsia="黑体"/>
          <w:color w:val="auto"/>
        </w:rPr>
      </w:pPr>
      <w:r>
        <w:rPr>
          <w:rFonts w:ascii="黑体" w:hAnsi="黑体" w:eastAsia="黑体"/>
          <w:color w:val="auto"/>
        </w:rPr>
        <w:t>二、</w:t>
      </w:r>
      <w:r>
        <w:rPr>
          <w:rFonts w:hint="eastAsia" w:ascii="黑体" w:hAnsi="黑体" w:eastAsia="黑体"/>
          <w:color w:val="auto"/>
        </w:rPr>
        <w:t>资格</w:t>
      </w:r>
      <w:r>
        <w:rPr>
          <w:rFonts w:ascii="黑体" w:hAnsi="黑体" w:eastAsia="黑体"/>
          <w:color w:val="auto"/>
        </w:rPr>
        <w:t>要求</w:t>
      </w:r>
      <w:bookmarkStart w:id="0" w:name="_GoBack"/>
      <w:bookmarkEnd w:id="0"/>
    </w:p>
    <w:p w14:paraId="743C6CD2">
      <w:pPr>
        <w:spacing w:line="360" w:lineRule="auto"/>
        <w:ind w:firstLine="480" w:firstLineChars="200"/>
        <w:jc w:val="both"/>
        <w:rPr>
          <w:rFonts w:ascii="仿宋" w:hAnsi="仿宋" w:eastAsia="仿宋"/>
          <w:color w:val="auto"/>
        </w:rPr>
      </w:pPr>
      <w:r>
        <w:rPr>
          <w:rFonts w:ascii="仿宋" w:hAnsi="仿宋" w:eastAsia="仿宋"/>
          <w:color w:val="auto"/>
        </w:rPr>
        <w:t>1.具备独立法人资格，持有有效的营业执照</w:t>
      </w:r>
      <w:r>
        <w:rPr>
          <w:rFonts w:hint="eastAsia" w:ascii="仿宋" w:hAnsi="仿宋" w:eastAsia="仿宋"/>
          <w:color w:val="auto"/>
        </w:rPr>
        <w:t>；</w:t>
      </w:r>
    </w:p>
    <w:p w14:paraId="4D27B9BC">
      <w:pPr>
        <w:spacing w:line="360" w:lineRule="auto"/>
        <w:ind w:firstLine="480" w:firstLineChars="200"/>
        <w:jc w:val="both"/>
        <w:rPr>
          <w:rFonts w:ascii="仿宋" w:hAnsi="仿宋" w:eastAsia="仿宋"/>
          <w:color w:val="auto"/>
        </w:rPr>
      </w:pPr>
      <w:r>
        <w:rPr>
          <w:rFonts w:hint="eastAsia" w:ascii="仿宋" w:hAnsi="仿宋" w:eastAsia="仿宋"/>
          <w:color w:val="auto"/>
        </w:rPr>
        <w:t>2</w:t>
      </w:r>
      <w:r>
        <w:rPr>
          <w:rFonts w:ascii="仿宋" w:hAnsi="仿宋" w:eastAsia="仿宋"/>
          <w:color w:val="auto"/>
        </w:rPr>
        <w:t>.</w:t>
      </w:r>
      <w:r>
        <w:rPr>
          <w:rFonts w:hint="eastAsia" w:ascii="仿宋" w:hAnsi="仿宋" w:eastAsia="仿宋"/>
          <w:color w:val="auto"/>
        </w:rPr>
        <w:t>报价合计金额不得超过总控制价金额；</w:t>
      </w:r>
    </w:p>
    <w:p w14:paraId="080D4E79">
      <w:pPr>
        <w:spacing w:line="360" w:lineRule="auto"/>
        <w:ind w:firstLine="480" w:firstLineChars="200"/>
        <w:jc w:val="both"/>
        <w:rPr>
          <w:rFonts w:ascii="仿宋" w:hAnsi="仿宋" w:eastAsia="仿宋"/>
          <w:color w:val="auto"/>
        </w:rPr>
      </w:pPr>
      <w:r>
        <w:rPr>
          <w:rFonts w:hint="eastAsia" w:ascii="仿宋" w:hAnsi="仿宋" w:eastAsia="仿宋"/>
          <w:color w:val="auto"/>
        </w:rPr>
        <w:t>3</w:t>
      </w:r>
      <w:r>
        <w:rPr>
          <w:rFonts w:ascii="仿宋" w:hAnsi="仿宋" w:eastAsia="仿宋"/>
          <w:color w:val="auto"/>
        </w:rPr>
        <w:t>.</w:t>
      </w:r>
      <w:r>
        <w:rPr>
          <w:rFonts w:hint="eastAsia" w:ascii="仿宋" w:hAnsi="仿宋" w:eastAsia="仿宋"/>
          <w:color w:val="auto"/>
        </w:rPr>
        <w:t>提供报价清单盖章扫描件。</w:t>
      </w:r>
    </w:p>
    <w:p w14:paraId="5DF48A25">
      <w:pPr>
        <w:spacing w:line="360" w:lineRule="auto"/>
        <w:ind w:firstLine="480" w:firstLineChars="200"/>
        <w:jc w:val="both"/>
        <w:rPr>
          <w:rFonts w:ascii="黑体" w:hAnsi="黑体" w:eastAsia="黑体"/>
          <w:color w:val="auto"/>
        </w:rPr>
      </w:pPr>
      <w:r>
        <w:rPr>
          <w:rFonts w:hint="eastAsia" w:ascii="黑体" w:hAnsi="黑体" w:eastAsia="黑体"/>
          <w:color w:val="auto"/>
        </w:rPr>
        <w:t>三、报价须知</w:t>
      </w:r>
    </w:p>
    <w:p w14:paraId="09648F9A">
      <w:pPr>
        <w:spacing w:line="360" w:lineRule="auto"/>
        <w:ind w:firstLine="480" w:firstLineChars="200"/>
        <w:jc w:val="both"/>
        <w:rPr>
          <w:rFonts w:ascii="仿宋" w:hAnsi="仿宋" w:eastAsia="仿宋"/>
          <w:color w:val="auto"/>
        </w:rPr>
      </w:pPr>
      <w:r>
        <w:rPr>
          <w:rFonts w:ascii="仿宋" w:hAnsi="仿宋" w:eastAsia="仿宋"/>
          <w:color w:val="auto"/>
        </w:rPr>
        <w:t>1.</w:t>
      </w:r>
      <w:r>
        <w:rPr>
          <w:rFonts w:hint="eastAsia" w:ascii="仿宋" w:hAnsi="仿宋" w:eastAsia="仿宋"/>
          <w:color w:val="auto"/>
        </w:rPr>
        <w:t>供应商</w:t>
      </w:r>
      <w:r>
        <w:rPr>
          <w:rFonts w:ascii="仿宋" w:hAnsi="仿宋" w:eastAsia="仿宋"/>
          <w:color w:val="auto"/>
        </w:rPr>
        <w:t>提交的报价材料</w:t>
      </w:r>
      <w:r>
        <w:rPr>
          <w:rFonts w:hint="eastAsia" w:ascii="仿宋" w:hAnsi="仿宋" w:eastAsia="仿宋"/>
          <w:color w:val="auto"/>
        </w:rPr>
        <w:t>若不满足或未响应资格要求的</w:t>
      </w:r>
      <w:r>
        <w:rPr>
          <w:rFonts w:ascii="仿宋" w:hAnsi="仿宋" w:eastAsia="仿宋"/>
          <w:color w:val="auto"/>
        </w:rPr>
        <w:t>，将被视为未响应</w:t>
      </w:r>
      <w:r>
        <w:rPr>
          <w:rFonts w:hint="eastAsia" w:ascii="仿宋" w:hAnsi="仿宋" w:eastAsia="仿宋"/>
          <w:color w:val="auto"/>
        </w:rPr>
        <w:t>询价文件的</w:t>
      </w:r>
      <w:r>
        <w:rPr>
          <w:rFonts w:ascii="仿宋" w:hAnsi="仿宋" w:eastAsia="仿宋"/>
          <w:color w:val="auto"/>
        </w:rPr>
        <w:t>实质</w:t>
      </w:r>
      <w:r>
        <w:rPr>
          <w:rFonts w:hint="eastAsia" w:ascii="仿宋" w:hAnsi="仿宋" w:eastAsia="仿宋"/>
          <w:color w:val="auto"/>
        </w:rPr>
        <w:t>性要求</w:t>
      </w:r>
      <w:r>
        <w:rPr>
          <w:rFonts w:ascii="仿宋" w:hAnsi="仿宋" w:eastAsia="仿宋"/>
          <w:color w:val="auto"/>
        </w:rPr>
        <w:t>，</w:t>
      </w:r>
      <w:r>
        <w:rPr>
          <w:rFonts w:hint="eastAsia" w:ascii="仿宋" w:hAnsi="仿宋" w:eastAsia="仿宋"/>
          <w:color w:val="auto"/>
        </w:rPr>
        <w:t>并将其</w:t>
      </w:r>
      <w:r>
        <w:rPr>
          <w:rFonts w:ascii="仿宋" w:hAnsi="仿宋" w:eastAsia="仿宋"/>
          <w:color w:val="auto"/>
        </w:rPr>
        <w:t>判定为无效</w:t>
      </w:r>
      <w:r>
        <w:rPr>
          <w:rFonts w:hint="eastAsia" w:ascii="仿宋" w:hAnsi="仿宋" w:eastAsia="仿宋"/>
          <w:color w:val="auto"/>
        </w:rPr>
        <w:t>报价；</w:t>
      </w:r>
    </w:p>
    <w:p w14:paraId="7FF2BB10">
      <w:pPr>
        <w:spacing w:line="360" w:lineRule="auto"/>
        <w:ind w:firstLine="480" w:firstLineChars="200"/>
        <w:jc w:val="both"/>
        <w:rPr>
          <w:rFonts w:ascii="仿宋" w:hAnsi="仿宋" w:eastAsia="仿宋"/>
          <w:color w:val="auto"/>
        </w:rPr>
      </w:pPr>
      <w:r>
        <w:rPr>
          <w:rFonts w:hint="eastAsia" w:ascii="仿宋" w:hAnsi="仿宋" w:eastAsia="仿宋"/>
          <w:color w:val="auto"/>
        </w:rPr>
        <w:t>2</w:t>
      </w:r>
      <w:r>
        <w:rPr>
          <w:rFonts w:ascii="仿宋" w:hAnsi="仿宋" w:eastAsia="仿宋"/>
          <w:color w:val="auto"/>
        </w:rPr>
        <w:t>.</w:t>
      </w:r>
      <w:r>
        <w:rPr>
          <w:rFonts w:hint="eastAsia" w:ascii="仿宋" w:hAnsi="仿宋" w:eastAsia="仿宋"/>
          <w:color w:val="auto"/>
        </w:rPr>
        <w:t>有效报价中，除税最低报价为中选人；</w:t>
      </w:r>
    </w:p>
    <w:p w14:paraId="71E5C3EF">
      <w:pPr>
        <w:spacing w:line="360" w:lineRule="auto"/>
        <w:ind w:firstLine="480" w:firstLineChars="200"/>
        <w:jc w:val="both"/>
        <w:rPr>
          <w:rFonts w:ascii="仿宋" w:hAnsi="仿宋" w:eastAsia="仿宋"/>
          <w:color w:val="auto"/>
        </w:rPr>
      </w:pPr>
      <w:r>
        <w:rPr>
          <w:rFonts w:hint="eastAsia" w:ascii="仿宋" w:hAnsi="仿宋" w:eastAsia="仿宋"/>
          <w:color w:val="auto"/>
        </w:rPr>
        <w:t>3</w:t>
      </w:r>
      <w:r>
        <w:rPr>
          <w:rFonts w:ascii="仿宋" w:hAnsi="仿宋" w:eastAsia="仿宋"/>
          <w:color w:val="auto"/>
        </w:rPr>
        <w:t>.</w:t>
      </w:r>
      <w:r>
        <w:rPr>
          <w:rFonts w:hint="eastAsia" w:ascii="仿宋" w:hAnsi="仿宋" w:eastAsia="仿宋"/>
          <w:color w:val="auto"/>
        </w:rPr>
        <w:t>供应商须在报价清单中填写增值税税率，</w:t>
      </w:r>
      <w:r>
        <w:rPr>
          <w:rFonts w:ascii="仿宋" w:hAnsi="仿宋" w:eastAsia="仿宋"/>
          <w:color w:val="auto"/>
        </w:rPr>
        <w:t>未注明税率的，视为无效报价</w:t>
      </w:r>
      <w:r>
        <w:rPr>
          <w:rFonts w:hint="eastAsia" w:ascii="仿宋" w:hAnsi="仿宋" w:eastAsia="仿宋"/>
          <w:color w:val="auto"/>
        </w:rPr>
        <w:t>；</w:t>
      </w:r>
    </w:p>
    <w:p w14:paraId="169AA27C">
      <w:pPr>
        <w:spacing w:line="360" w:lineRule="auto"/>
        <w:ind w:firstLine="480" w:firstLineChars="200"/>
        <w:jc w:val="both"/>
        <w:rPr>
          <w:rFonts w:ascii="仿宋" w:hAnsi="仿宋" w:eastAsia="仿宋"/>
          <w:color w:val="auto"/>
        </w:rPr>
      </w:pPr>
      <w:r>
        <w:rPr>
          <w:rFonts w:ascii="仿宋" w:hAnsi="仿宋" w:eastAsia="仿宋"/>
          <w:color w:val="auto"/>
        </w:rPr>
        <w:t>4.</w:t>
      </w:r>
      <w:r>
        <w:rPr>
          <w:rFonts w:hint="eastAsia" w:ascii="仿宋" w:hAnsi="仿宋" w:eastAsia="仿宋"/>
          <w:color w:val="auto"/>
        </w:rPr>
        <w:t>报价清单包含且不限于设计费、材料费、制作费、运输费、安装人员费、税费、质保服务费等全部费用。</w:t>
      </w:r>
    </w:p>
    <w:p w14:paraId="45582FDC">
      <w:pPr>
        <w:spacing w:line="360" w:lineRule="auto"/>
        <w:ind w:firstLine="480" w:firstLineChars="200"/>
        <w:jc w:val="both"/>
        <w:rPr>
          <w:rFonts w:ascii="黑体" w:hAnsi="黑体" w:eastAsia="黑体"/>
          <w:color w:val="auto"/>
        </w:rPr>
      </w:pPr>
      <w:r>
        <w:rPr>
          <w:rFonts w:hint="eastAsia" w:ascii="黑体" w:hAnsi="黑体" w:eastAsia="黑体"/>
          <w:color w:val="auto"/>
        </w:rPr>
        <w:t>四、服务要求</w:t>
      </w:r>
    </w:p>
    <w:p w14:paraId="6330E954">
      <w:pPr>
        <w:spacing w:line="360" w:lineRule="auto"/>
        <w:ind w:firstLine="482" w:firstLineChars="200"/>
        <w:jc w:val="both"/>
        <w:rPr>
          <w:rFonts w:ascii="仿宋" w:hAnsi="仿宋" w:eastAsia="仿宋"/>
          <w:color w:val="auto"/>
        </w:rPr>
      </w:pPr>
      <w:r>
        <w:rPr>
          <w:rFonts w:ascii="仿宋" w:hAnsi="仿宋" w:eastAsia="仿宋"/>
          <w:b/>
          <w:bCs/>
          <w:color w:val="auto"/>
        </w:rPr>
        <w:t>1.</w:t>
      </w:r>
      <w:r>
        <w:rPr>
          <w:rFonts w:hint="eastAsia" w:ascii="仿宋" w:hAnsi="仿宋" w:eastAsia="仿宋"/>
          <w:b/>
          <w:bCs/>
          <w:color w:val="auto"/>
        </w:rPr>
        <w:t>技术能力：</w:t>
      </w:r>
      <w:r>
        <w:rPr>
          <w:rFonts w:ascii="仿宋" w:hAnsi="仿宋" w:eastAsia="仿宋"/>
          <w:color w:val="auto"/>
        </w:rPr>
        <w:t>拥有专业的设计、制作、安装团队，团队成员具备3年及以上相关行业从业经验，能够准确理解公司标识设计方案，</w:t>
      </w:r>
      <w:r>
        <w:rPr>
          <w:rFonts w:hint="eastAsia" w:ascii="仿宋" w:hAnsi="仿宋" w:eastAsia="仿宋"/>
          <w:color w:val="auto"/>
        </w:rPr>
        <w:t>制作前熟</w:t>
      </w:r>
      <w:r>
        <w:rPr>
          <w:rFonts w:ascii="仿宋" w:hAnsi="仿宋" w:eastAsia="仿宋"/>
          <w:color w:val="auto"/>
        </w:rPr>
        <w:t>练掌握标识制作工艺及安装规范，确保安装牢固、美观、符合安全标准</w:t>
      </w:r>
      <w:r>
        <w:rPr>
          <w:rFonts w:hint="eastAsia" w:ascii="仿宋" w:hAnsi="仿宋" w:eastAsia="仿宋"/>
          <w:color w:val="auto"/>
        </w:rPr>
        <w:t>；</w:t>
      </w:r>
    </w:p>
    <w:p w14:paraId="6674369F">
      <w:pPr>
        <w:spacing w:line="360" w:lineRule="auto"/>
        <w:ind w:firstLine="480" w:firstLineChars="200"/>
        <w:jc w:val="both"/>
        <w:rPr>
          <w:rFonts w:ascii="仿宋" w:hAnsi="仿宋" w:eastAsia="仿宋"/>
          <w:color w:val="auto"/>
        </w:rPr>
      </w:pPr>
      <w:r>
        <w:rPr>
          <w:rFonts w:ascii="仿宋" w:hAnsi="仿宋" w:eastAsia="仿宋"/>
          <w:color w:val="auto"/>
        </w:rPr>
        <w:t>2.</w:t>
      </w:r>
      <w:r>
        <w:rPr>
          <w:rFonts w:hint="eastAsia" w:ascii="仿宋" w:hAnsi="仿宋" w:eastAsia="仿宋"/>
          <w:color w:val="auto"/>
        </w:rPr>
        <w:t>服务能力：乙方应按照行业及国家标准或者符合甲方要求的方式对货物进行包装，并承担相应费用，以保证货物完好无损的送达现场，完成安装。</w:t>
      </w:r>
      <w:r>
        <w:rPr>
          <w:rFonts w:ascii="仿宋" w:hAnsi="仿宋" w:eastAsia="仿宋"/>
          <w:color w:val="auto"/>
        </w:rPr>
        <w:t>出现问题能够快速响应（24小时内响应，48小时内到达现场处理）</w:t>
      </w:r>
      <w:r>
        <w:rPr>
          <w:rFonts w:hint="eastAsia" w:ascii="仿宋" w:hAnsi="仿宋" w:eastAsia="仿宋"/>
          <w:color w:val="auto"/>
        </w:rPr>
        <w:t>。</w:t>
      </w:r>
    </w:p>
    <w:p w14:paraId="13605C50">
      <w:pPr>
        <w:spacing w:line="360" w:lineRule="auto"/>
        <w:ind w:firstLine="482" w:firstLineChars="200"/>
        <w:jc w:val="both"/>
        <w:rPr>
          <w:rFonts w:ascii="仿宋" w:hAnsi="仿宋" w:eastAsia="仿宋"/>
          <w:color w:val="auto"/>
        </w:rPr>
      </w:pPr>
      <w:r>
        <w:rPr>
          <w:rFonts w:ascii="仿宋" w:hAnsi="仿宋" w:eastAsia="仿宋"/>
          <w:b/>
          <w:bCs/>
          <w:color w:val="auto"/>
        </w:rPr>
        <w:t>3.制作工艺：</w:t>
      </w:r>
      <w:r>
        <w:rPr>
          <w:rFonts w:ascii="仿宋" w:hAnsi="仿宋" w:eastAsia="仿宋"/>
          <w:color w:val="auto"/>
        </w:rPr>
        <w:t>严格按照设计图纸及工艺标准制作，标识字体、图案、颜色、尺寸误差需控制在±1mm以内，无变形、无色差、无划痕</w:t>
      </w:r>
      <w:r>
        <w:rPr>
          <w:rFonts w:hint="eastAsia" w:ascii="仿宋" w:hAnsi="仿宋" w:eastAsia="仿宋"/>
          <w:color w:val="auto"/>
        </w:rPr>
        <w:t>、</w:t>
      </w:r>
      <w:r>
        <w:rPr>
          <w:rFonts w:ascii="仿宋" w:hAnsi="仿宋" w:eastAsia="仿宋"/>
          <w:color w:val="auto"/>
        </w:rPr>
        <w:t>无毛刺，拼接处平整、牢固，无松动、无缝隙；喷绘、</w:t>
      </w:r>
      <w:r>
        <w:rPr>
          <w:rFonts w:hint="eastAsia" w:ascii="仿宋" w:hAnsi="仿宋" w:eastAsia="仿宋"/>
          <w:color w:val="auto"/>
        </w:rPr>
        <w:t>U</w:t>
      </w:r>
      <w:r>
        <w:rPr>
          <w:rFonts w:ascii="仿宋" w:hAnsi="仿宋" w:eastAsia="仿宋"/>
          <w:color w:val="auto"/>
        </w:rPr>
        <w:t>V图案清晰、色彩饱满，不易褪色、不易脱落，能够适应不同环境（室内、室外、潮湿、高温等）的使用需求。</w:t>
      </w:r>
    </w:p>
    <w:p w14:paraId="72C227C6">
      <w:pPr>
        <w:spacing w:line="360" w:lineRule="auto"/>
        <w:ind w:firstLine="482" w:firstLineChars="200"/>
        <w:jc w:val="both"/>
        <w:rPr>
          <w:rFonts w:ascii="仿宋" w:hAnsi="仿宋" w:eastAsia="仿宋"/>
          <w:color w:val="auto"/>
        </w:rPr>
      </w:pPr>
      <w:r>
        <w:rPr>
          <w:rFonts w:hint="eastAsia" w:ascii="仿宋" w:hAnsi="仿宋" w:eastAsia="仿宋"/>
          <w:b/>
          <w:bCs/>
          <w:color w:val="auto"/>
        </w:rPr>
        <w:t>4</w:t>
      </w:r>
      <w:r>
        <w:rPr>
          <w:rFonts w:ascii="仿宋" w:hAnsi="仿宋" w:eastAsia="仿宋"/>
          <w:b/>
          <w:bCs/>
          <w:color w:val="auto"/>
        </w:rPr>
        <w:t>.质量保障：</w:t>
      </w:r>
      <w:r>
        <w:rPr>
          <w:rFonts w:ascii="仿宋" w:hAnsi="仿宋" w:eastAsia="仿宋"/>
          <w:color w:val="auto"/>
        </w:rPr>
        <w:t>质保期2年（自验收合格之日起计算），质保期内，标识出现褪色、脱落、变形、松动、损坏等质量问题，或因设计、勘察、安装不当导致的故障，供应商需在24小时内响应，48小时内到达现场，免费进行维修、更换</w:t>
      </w:r>
      <w:r>
        <w:rPr>
          <w:rFonts w:hint="eastAsia" w:ascii="仿宋" w:hAnsi="仿宋" w:eastAsia="仿宋"/>
          <w:color w:val="auto"/>
        </w:rPr>
        <w:t>。如乙方接甲方通知后拒绝处理或乙方修复后仍不合格的，甲方有权委托第三方代为修复，由此发生的费用由乙方承担。</w:t>
      </w:r>
    </w:p>
    <w:p w14:paraId="1D7CD869">
      <w:pPr>
        <w:spacing w:line="360" w:lineRule="auto"/>
        <w:ind w:firstLine="482" w:firstLineChars="200"/>
        <w:jc w:val="both"/>
        <w:rPr>
          <w:rFonts w:ascii="仿宋" w:hAnsi="仿宋" w:eastAsia="仿宋"/>
          <w:b/>
          <w:bCs/>
          <w:color w:val="auto"/>
        </w:rPr>
      </w:pPr>
      <w:r>
        <w:rPr>
          <w:rFonts w:ascii="仿宋" w:hAnsi="仿宋" w:eastAsia="仿宋"/>
          <w:b/>
          <w:bCs/>
          <w:color w:val="auto"/>
        </w:rPr>
        <w:t>5.</w:t>
      </w:r>
      <w:r>
        <w:rPr>
          <w:rFonts w:hint="eastAsia" w:ascii="仿宋" w:hAnsi="仿宋" w:eastAsia="仿宋"/>
          <w:b/>
          <w:bCs/>
          <w:color w:val="auto"/>
        </w:rPr>
        <w:t>服务流程：</w:t>
      </w:r>
    </w:p>
    <w:p w14:paraId="5986E2D3">
      <w:pPr>
        <w:spacing w:line="360" w:lineRule="auto"/>
        <w:ind w:firstLine="480" w:firstLineChars="200"/>
        <w:jc w:val="both"/>
        <w:rPr>
          <w:rFonts w:ascii="仿宋" w:hAnsi="仿宋" w:eastAsia="仿宋"/>
          <w:color w:val="auto"/>
        </w:rPr>
      </w:pPr>
      <w:r>
        <w:rPr>
          <w:rFonts w:hint="eastAsia" w:ascii="仿宋" w:hAnsi="仿宋" w:eastAsia="仿宋"/>
          <w:color w:val="auto"/>
        </w:rPr>
        <w:t>（1）</w:t>
      </w:r>
      <w:r>
        <w:rPr>
          <w:rFonts w:ascii="仿宋" w:hAnsi="仿宋" w:eastAsia="仿宋"/>
          <w:color w:val="auto"/>
        </w:rPr>
        <w:t>现场勘察</w:t>
      </w:r>
    </w:p>
    <w:p w14:paraId="26B898B6">
      <w:pPr>
        <w:spacing w:line="360" w:lineRule="auto"/>
        <w:ind w:firstLine="480" w:firstLineChars="200"/>
        <w:jc w:val="both"/>
        <w:rPr>
          <w:rFonts w:ascii="仿宋" w:hAnsi="仿宋" w:eastAsia="仿宋"/>
          <w:color w:val="auto"/>
        </w:rPr>
      </w:pPr>
      <w:r>
        <w:rPr>
          <w:rFonts w:ascii="仿宋" w:hAnsi="仿宋" w:eastAsia="仿宋"/>
          <w:color w:val="auto"/>
        </w:rPr>
        <w:t>供应商需安排专业勘察人员，分公司现场，完成全面的场地测量工作，精准记录场地尺寸、墙面材质、安装环境，形成详细的</w:t>
      </w:r>
      <w:r>
        <w:rPr>
          <w:rFonts w:hint="eastAsia" w:ascii="仿宋" w:hAnsi="仿宋" w:eastAsia="仿宋"/>
          <w:color w:val="auto"/>
        </w:rPr>
        <w:t>勘察记录</w:t>
      </w:r>
      <w:r>
        <w:rPr>
          <w:rFonts w:ascii="仿宋" w:hAnsi="仿宋" w:eastAsia="仿宋"/>
          <w:color w:val="auto"/>
        </w:rPr>
        <w:t>，确保后续设计、制作、安装工作贴合现场实际，避免出现尺寸不符、安装不便等问题。</w:t>
      </w:r>
    </w:p>
    <w:p w14:paraId="12C752B7">
      <w:pPr>
        <w:spacing w:line="360" w:lineRule="auto"/>
        <w:ind w:firstLine="480" w:firstLineChars="200"/>
        <w:jc w:val="both"/>
        <w:rPr>
          <w:rFonts w:ascii="仿宋" w:hAnsi="仿宋" w:eastAsia="仿宋"/>
          <w:color w:val="auto"/>
        </w:rPr>
      </w:pPr>
      <w:r>
        <w:rPr>
          <w:rFonts w:hint="eastAsia" w:ascii="仿宋" w:hAnsi="仿宋" w:eastAsia="仿宋"/>
          <w:color w:val="auto"/>
        </w:rPr>
        <w:t>（2）深化</w:t>
      </w:r>
      <w:r>
        <w:rPr>
          <w:rFonts w:ascii="仿宋" w:hAnsi="仿宋" w:eastAsia="仿宋"/>
          <w:color w:val="auto"/>
        </w:rPr>
        <w:t>设计</w:t>
      </w:r>
    </w:p>
    <w:p w14:paraId="03BCECBC">
      <w:pPr>
        <w:spacing w:line="360" w:lineRule="auto"/>
        <w:ind w:firstLine="480" w:firstLineChars="200"/>
        <w:jc w:val="both"/>
        <w:rPr>
          <w:rFonts w:ascii="仿宋" w:hAnsi="仿宋" w:eastAsia="仿宋"/>
          <w:color w:val="auto"/>
        </w:rPr>
      </w:pPr>
      <w:r>
        <w:rPr>
          <w:rFonts w:ascii="仿宋" w:hAnsi="仿宋" w:eastAsia="仿宋"/>
          <w:color w:val="auto"/>
        </w:rPr>
        <w:t>供应商需严格按照甲方提供的标识源文件，结合现场勘察</w:t>
      </w:r>
      <w:r>
        <w:rPr>
          <w:rFonts w:hint="eastAsia" w:ascii="仿宋" w:hAnsi="仿宋" w:eastAsia="仿宋"/>
          <w:color w:val="auto"/>
        </w:rPr>
        <w:t>记录</w:t>
      </w:r>
      <w:r>
        <w:rPr>
          <w:rFonts w:ascii="仿宋" w:hAnsi="仿宋" w:eastAsia="仿宋"/>
          <w:color w:val="auto"/>
        </w:rPr>
        <w:t>，</w:t>
      </w:r>
      <w:r>
        <w:rPr>
          <w:rFonts w:hint="eastAsia" w:ascii="仿宋" w:hAnsi="仿宋" w:eastAsia="仿宋"/>
          <w:color w:val="auto"/>
        </w:rPr>
        <w:t>对</w:t>
      </w:r>
      <w:r>
        <w:rPr>
          <w:rFonts w:ascii="仿宋" w:hAnsi="仿宋" w:eastAsia="仿宋"/>
          <w:color w:val="auto"/>
        </w:rPr>
        <w:t>场地</w:t>
      </w:r>
      <w:r>
        <w:rPr>
          <w:rFonts w:hint="eastAsia" w:ascii="仿宋" w:hAnsi="仿宋" w:eastAsia="仿宋"/>
          <w:color w:val="auto"/>
        </w:rPr>
        <w:t>进行深化</w:t>
      </w:r>
      <w:r>
        <w:rPr>
          <w:rFonts w:ascii="仿宋" w:hAnsi="仿宋" w:eastAsia="仿宋"/>
          <w:color w:val="auto"/>
        </w:rPr>
        <w:t>设计调整，对标识安装</w:t>
      </w:r>
      <w:r>
        <w:rPr>
          <w:rFonts w:hint="eastAsia" w:ascii="仿宋" w:hAnsi="仿宋" w:eastAsia="仿宋"/>
          <w:color w:val="auto"/>
        </w:rPr>
        <w:t>墙面</w:t>
      </w:r>
      <w:r>
        <w:rPr>
          <w:rFonts w:ascii="仿宋" w:hAnsi="仿宋" w:eastAsia="仿宋"/>
          <w:color w:val="auto"/>
        </w:rPr>
        <w:t>进行科学规划，明确标识安装位置、高度、固定方式等细节</w:t>
      </w:r>
      <w:r>
        <w:rPr>
          <w:rFonts w:hint="eastAsia" w:ascii="仿宋" w:hAnsi="仿宋" w:eastAsia="仿宋"/>
          <w:color w:val="auto"/>
        </w:rPr>
        <w:t>。</w:t>
      </w:r>
      <w:r>
        <w:rPr>
          <w:rFonts w:ascii="仿宋" w:hAnsi="仿宋" w:eastAsia="仿宋"/>
          <w:color w:val="auto"/>
        </w:rPr>
        <w:t>需出具完整的设计文件，包括场地平面图（标注标识安装具体位置、尺寸参数）、标识效果图（还原标识安装后的实际呈现效果）</w:t>
      </w:r>
      <w:r>
        <w:rPr>
          <w:rFonts w:hint="eastAsia" w:ascii="仿宋" w:hAnsi="仿宋" w:eastAsia="仿宋"/>
          <w:color w:val="auto"/>
        </w:rPr>
        <w:t>。</w:t>
      </w:r>
      <w:r>
        <w:rPr>
          <w:rFonts w:ascii="仿宋" w:hAnsi="仿宋" w:eastAsia="仿宋"/>
          <w:color w:val="auto"/>
        </w:rPr>
        <w:t>设计文件完成</w:t>
      </w:r>
      <w:r>
        <w:rPr>
          <w:rFonts w:hint="eastAsia" w:ascii="仿宋" w:hAnsi="仿宋" w:eastAsia="仿宋"/>
          <w:color w:val="auto"/>
        </w:rPr>
        <w:t>需提交甲方审核，</w:t>
      </w:r>
      <w:r>
        <w:rPr>
          <w:rFonts w:ascii="仿宋" w:hAnsi="仿宋" w:eastAsia="仿宋"/>
          <w:color w:val="auto"/>
        </w:rPr>
        <w:t>审核通过后，方可启动制作工作，若审核不合格，需按</w:t>
      </w:r>
      <w:r>
        <w:rPr>
          <w:rFonts w:hint="eastAsia" w:ascii="仿宋" w:hAnsi="仿宋" w:eastAsia="仿宋"/>
          <w:color w:val="auto"/>
        </w:rPr>
        <w:t>甲方</w:t>
      </w:r>
      <w:r>
        <w:rPr>
          <w:rFonts w:ascii="仿宋" w:hAnsi="仿宋" w:eastAsia="仿宋"/>
          <w:color w:val="auto"/>
        </w:rPr>
        <w:t>要求及时修改。</w:t>
      </w:r>
    </w:p>
    <w:p w14:paraId="01D288E5">
      <w:pPr>
        <w:spacing w:line="360" w:lineRule="auto"/>
        <w:ind w:firstLine="480" w:firstLineChars="200"/>
        <w:jc w:val="both"/>
        <w:rPr>
          <w:rFonts w:ascii="仿宋" w:hAnsi="仿宋" w:eastAsia="仿宋"/>
          <w:color w:val="auto"/>
        </w:rPr>
      </w:pPr>
      <w:r>
        <w:rPr>
          <w:rFonts w:hint="eastAsia" w:ascii="仿宋" w:hAnsi="仿宋" w:eastAsia="仿宋"/>
          <w:color w:val="auto"/>
        </w:rPr>
        <w:t>（3）</w:t>
      </w:r>
      <w:r>
        <w:rPr>
          <w:rFonts w:ascii="仿宋" w:hAnsi="仿宋" w:eastAsia="仿宋"/>
          <w:color w:val="auto"/>
        </w:rPr>
        <w:t>制作安装</w:t>
      </w:r>
    </w:p>
    <w:p w14:paraId="04DA6D32">
      <w:pPr>
        <w:spacing w:line="360" w:lineRule="auto"/>
        <w:ind w:firstLine="480" w:firstLineChars="200"/>
        <w:jc w:val="both"/>
        <w:rPr>
          <w:rFonts w:ascii="仿宋" w:hAnsi="仿宋" w:eastAsia="仿宋"/>
          <w:color w:val="auto"/>
        </w:rPr>
      </w:pPr>
      <w:r>
        <w:rPr>
          <w:rFonts w:ascii="仿宋" w:hAnsi="仿宋" w:eastAsia="仿宋"/>
          <w:color w:val="auto"/>
        </w:rPr>
        <w:t>制作环节需严格按照审核通过的设计文件、技术参数及制作清单执行，选用符合要求的原材料</w:t>
      </w:r>
      <w:r>
        <w:rPr>
          <w:rFonts w:hint="eastAsia" w:ascii="仿宋" w:hAnsi="仿宋" w:eastAsia="仿宋"/>
          <w:color w:val="auto"/>
        </w:rPr>
        <w:t>。</w:t>
      </w:r>
      <w:r>
        <w:rPr>
          <w:rFonts w:ascii="仿宋" w:hAnsi="仿宋" w:eastAsia="仿宋"/>
          <w:color w:val="auto"/>
        </w:rPr>
        <w:t>制作完成做好包装防护，按约定时间将标识运输至安装现场；安装环节需严格按照设计方案及安装规范操作，结合现场勘察情况，确保安装牢固、美观，符合安全标准，安装过程中做好现场保护，避免损坏原有设施，安装完成后及时清理施工垃圾，保持现场整洁。</w:t>
      </w:r>
    </w:p>
    <w:p w14:paraId="4A9BCCE4">
      <w:pPr>
        <w:spacing w:line="360" w:lineRule="auto"/>
        <w:ind w:firstLine="480" w:firstLineChars="200"/>
        <w:jc w:val="both"/>
        <w:rPr>
          <w:rFonts w:ascii="仿宋" w:hAnsi="仿宋" w:eastAsia="仿宋"/>
          <w:color w:val="auto"/>
        </w:rPr>
      </w:pPr>
      <w:r>
        <w:rPr>
          <w:rFonts w:hint="eastAsia" w:ascii="仿宋" w:hAnsi="仿宋" w:eastAsia="仿宋"/>
          <w:color w:val="auto"/>
        </w:rPr>
        <w:t>（4）</w:t>
      </w:r>
      <w:r>
        <w:rPr>
          <w:rFonts w:ascii="仿宋" w:hAnsi="仿宋" w:eastAsia="仿宋"/>
          <w:color w:val="auto"/>
        </w:rPr>
        <w:t>项目验收</w:t>
      </w:r>
    </w:p>
    <w:p w14:paraId="56101A5D">
      <w:pPr>
        <w:spacing w:line="360" w:lineRule="auto"/>
        <w:ind w:firstLine="480" w:firstLineChars="200"/>
        <w:jc w:val="both"/>
        <w:rPr>
          <w:rFonts w:ascii="仿宋" w:hAnsi="仿宋" w:eastAsia="仿宋"/>
          <w:color w:val="auto"/>
        </w:rPr>
      </w:pPr>
      <w:r>
        <w:rPr>
          <w:rFonts w:ascii="仿宋" w:hAnsi="仿宋" w:eastAsia="仿宋"/>
          <w:color w:val="auto"/>
        </w:rPr>
        <w:t>安装完成后，供应商需先进行自检，自检合格后向公司提交验收申请，并提供完整的验收资料（包括</w:t>
      </w:r>
      <w:r>
        <w:rPr>
          <w:rFonts w:hint="eastAsia" w:ascii="仿宋" w:hAnsi="仿宋" w:eastAsia="仿宋"/>
          <w:color w:val="auto"/>
        </w:rPr>
        <w:t>定稿设计</w:t>
      </w:r>
      <w:r>
        <w:rPr>
          <w:rFonts w:ascii="仿宋" w:hAnsi="仿宋" w:eastAsia="仿宋"/>
          <w:color w:val="auto"/>
        </w:rPr>
        <w:t>文件、</w:t>
      </w:r>
      <w:r>
        <w:rPr>
          <w:rFonts w:hint="eastAsia" w:ascii="仿宋" w:hAnsi="仿宋" w:eastAsia="仿宋"/>
          <w:color w:val="auto"/>
        </w:rPr>
        <w:t>验收清单及对应的现场照片等）</w:t>
      </w:r>
      <w:r>
        <w:rPr>
          <w:rFonts w:ascii="仿宋" w:hAnsi="仿宋" w:eastAsia="仿宋"/>
          <w:color w:val="auto"/>
        </w:rPr>
        <w:t>；公司将组织相关人员，按照</w:t>
      </w:r>
      <w:r>
        <w:rPr>
          <w:rFonts w:hint="eastAsia" w:ascii="仿宋" w:hAnsi="仿宋" w:eastAsia="仿宋"/>
          <w:color w:val="auto"/>
        </w:rPr>
        <w:t>安装尺寸</w:t>
      </w:r>
      <w:r>
        <w:rPr>
          <w:rFonts w:ascii="仿宋" w:hAnsi="仿宋" w:eastAsia="仿宋"/>
          <w:color w:val="auto"/>
        </w:rPr>
        <w:t>、制作</w:t>
      </w:r>
      <w:r>
        <w:rPr>
          <w:rFonts w:hint="eastAsia" w:ascii="仿宋" w:hAnsi="仿宋" w:eastAsia="仿宋"/>
          <w:color w:val="auto"/>
        </w:rPr>
        <w:t>数量、制作材质</w:t>
      </w:r>
      <w:r>
        <w:rPr>
          <w:rFonts w:ascii="仿宋" w:hAnsi="仿宋" w:eastAsia="仿宋"/>
          <w:color w:val="auto"/>
        </w:rPr>
        <w:t>质量、安装牢固度等进行全面验收，验收合格后签署验收确认单；若验收不合格，供应商需在规定时间内整改，整改费用自行承担，直至验收合格，多次整改仍不合格的，公司有权终止合作并追究违约责任。</w:t>
      </w:r>
    </w:p>
    <w:p w14:paraId="42D040A5">
      <w:pPr>
        <w:spacing w:line="360" w:lineRule="auto"/>
        <w:ind w:firstLine="480" w:firstLineChars="200"/>
        <w:jc w:val="both"/>
        <w:rPr>
          <w:rFonts w:ascii="黑体" w:hAnsi="黑体" w:eastAsia="黑体"/>
          <w:color w:val="auto"/>
        </w:rPr>
      </w:pPr>
      <w:r>
        <w:rPr>
          <w:rFonts w:hint="eastAsia" w:ascii="黑体" w:hAnsi="黑体" w:eastAsia="黑体"/>
          <w:color w:val="auto"/>
        </w:rPr>
        <w:t>五、联系方式</w:t>
      </w:r>
    </w:p>
    <w:p w14:paraId="4A4CD222">
      <w:pPr>
        <w:spacing w:line="360" w:lineRule="auto"/>
        <w:ind w:firstLine="480" w:firstLineChars="200"/>
        <w:jc w:val="both"/>
        <w:rPr>
          <w:rFonts w:ascii="仿宋" w:hAnsi="仿宋" w:eastAsia="仿宋"/>
          <w:color w:val="auto"/>
        </w:rPr>
      </w:pPr>
      <w:r>
        <w:rPr>
          <w:rFonts w:hint="eastAsia" w:ascii="仿宋" w:hAnsi="仿宋" w:eastAsia="仿宋"/>
          <w:color w:val="auto"/>
        </w:rPr>
        <w:t>联系人：</w:t>
      </w:r>
      <w:r>
        <w:rPr>
          <w:rFonts w:hint="eastAsia" w:cs="宋体"/>
          <w:color w:val="auto"/>
          <w:lang w:val="en-US" w:eastAsia="zh-CN"/>
        </w:rPr>
        <w:t>陈先生13696515854</w:t>
      </w:r>
      <w:r>
        <w:rPr>
          <w:rFonts w:hint="eastAsia" w:ascii="仿宋" w:hAnsi="仿宋" w:eastAsia="仿宋"/>
          <w:color w:val="auto"/>
        </w:rPr>
        <w:t>。</w:t>
      </w:r>
    </w:p>
    <w:p w14:paraId="0026342D">
      <w:pPr>
        <w:spacing w:line="360" w:lineRule="auto"/>
        <w:ind w:firstLine="480" w:firstLineChars="200"/>
        <w:jc w:val="both"/>
        <w:rPr>
          <w:rFonts w:ascii="仿宋" w:hAnsi="仿宋" w:eastAsia="仿宋"/>
          <w:color w:val="auto"/>
        </w:rPr>
      </w:pPr>
    </w:p>
    <w:p w14:paraId="746ABA0B">
      <w:pPr>
        <w:spacing w:line="360" w:lineRule="auto"/>
        <w:ind w:firstLine="480" w:firstLineChars="200"/>
        <w:jc w:val="both"/>
        <w:rPr>
          <w:rFonts w:ascii="仿宋" w:hAnsi="仿宋" w:eastAsia="仿宋"/>
          <w:color w:val="auto"/>
        </w:rPr>
      </w:pPr>
      <w:r>
        <w:rPr>
          <w:rFonts w:hint="eastAsia" w:ascii="仿宋" w:hAnsi="仿宋" w:eastAsia="仿宋"/>
          <w:color w:val="auto"/>
        </w:rPr>
        <w:t>本采购需求为询价核心依据，未尽事宜由双方协商确定。</w:t>
      </w:r>
    </w:p>
    <w:p w14:paraId="3D70393F">
      <w:pPr>
        <w:spacing w:line="360" w:lineRule="auto"/>
        <w:ind w:firstLine="480" w:firstLineChars="200"/>
        <w:jc w:val="both"/>
        <w:rPr>
          <w:rFonts w:ascii="仿宋" w:hAnsi="仿宋" w:eastAsia="仿宋"/>
          <w:color w:val="auto"/>
        </w:rPr>
      </w:pPr>
      <w:r>
        <w:rPr>
          <w:rFonts w:ascii="仿宋" w:hAnsi="仿宋" w:eastAsia="仿宋"/>
          <w:color w:val="auto"/>
        </w:rPr>
        <w:t>附件</w:t>
      </w:r>
      <w:r>
        <w:rPr>
          <w:rFonts w:hint="eastAsia" w:ascii="仿宋" w:hAnsi="仿宋" w:eastAsia="仿宋"/>
          <w:color w:val="auto"/>
        </w:rPr>
        <w:t>一</w:t>
      </w:r>
      <w:r>
        <w:rPr>
          <w:rFonts w:ascii="仿宋" w:hAnsi="仿宋" w:eastAsia="仿宋"/>
          <w:color w:val="auto"/>
        </w:rPr>
        <w:t>：</w:t>
      </w:r>
      <w:r>
        <w:rPr>
          <w:rFonts w:hint="eastAsia" w:ascii="仿宋" w:hAnsi="仿宋" w:eastAsia="仿宋"/>
          <w:color w:val="auto"/>
        </w:rPr>
        <w:t>《分公司统一标识设计方案》</w:t>
      </w:r>
    </w:p>
    <w:p w14:paraId="15510C77">
      <w:pPr>
        <w:spacing w:line="360" w:lineRule="auto"/>
        <w:ind w:firstLine="480" w:firstLineChars="200"/>
        <w:jc w:val="both"/>
        <w:rPr>
          <w:rFonts w:ascii="仿宋" w:hAnsi="仿宋" w:eastAsia="仿宋"/>
          <w:color w:val="auto"/>
        </w:rPr>
      </w:pPr>
      <w:r>
        <w:rPr>
          <w:rFonts w:hint="eastAsia" w:ascii="仿宋" w:hAnsi="仿宋" w:eastAsia="仿宋"/>
          <w:color w:val="auto"/>
        </w:rPr>
        <w:t>附件二：</w:t>
      </w:r>
      <w:r>
        <w:rPr>
          <w:rFonts w:ascii="仿宋" w:hAnsi="仿宋" w:eastAsia="仿宋"/>
          <w:color w:val="auto"/>
        </w:rPr>
        <w:t>《分公司统一标识</w:t>
      </w:r>
      <w:r>
        <w:rPr>
          <w:rFonts w:hint="eastAsia" w:ascii="仿宋" w:hAnsi="仿宋" w:eastAsia="仿宋"/>
          <w:color w:val="auto"/>
        </w:rPr>
        <w:t>报价</w:t>
      </w:r>
      <w:r>
        <w:rPr>
          <w:rFonts w:ascii="仿宋" w:hAnsi="仿宋" w:eastAsia="仿宋"/>
          <w:color w:val="auto"/>
        </w:rPr>
        <w:t>清单》</w:t>
      </w:r>
    </w:p>
    <w:p w14:paraId="6157FE41">
      <w:pPr>
        <w:spacing w:line="360" w:lineRule="auto"/>
        <w:ind w:firstLine="480" w:firstLineChars="200"/>
        <w:jc w:val="both"/>
        <w:rPr>
          <w:rFonts w:ascii="仿宋" w:hAnsi="仿宋" w:eastAsia="仿宋"/>
          <w:color w:val="auto"/>
        </w:rPr>
      </w:pPr>
    </w:p>
    <w:p w14:paraId="07C1F954">
      <w:pPr>
        <w:rPr>
          <w:rFonts w:ascii="黑体" w:hAnsi="黑体" w:eastAsia="黑体"/>
          <w:color w:val="auto"/>
        </w:rPr>
      </w:pPr>
      <w:r>
        <w:rPr>
          <w:rFonts w:ascii="黑体" w:hAnsi="黑体" w:eastAsia="黑体"/>
          <w:color w:val="auto"/>
        </w:rPr>
        <w:br w:type="page"/>
      </w:r>
    </w:p>
    <w:p w14:paraId="0A10BA38">
      <w:pPr>
        <w:pStyle w:val="12"/>
        <w:spacing w:after="0" w:afterAutospacing="0" w:line="360" w:lineRule="auto"/>
        <w:jc w:val="center"/>
        <w:rPr>
          <w:rFonts w:ascii="方正小标宋简体" w:hAnsi="方正小标宋简体" w:eastAsia="方正小标宋简体" w:cs="宋体"/>
          <w:color w:val="auto"/>
          <w:sz w:val="44"/>
          <w:szCs w:val="44"/>
        </w:rPr>
      </w:pPr>
      <w:r>
        <w:rPr>
          <w:rStyle w:val="35"/>
          <w:rFonts w:hint="eastAsia" w:ascii="方正小标宋简体" w:hAnsi="方正小标宋简体" w:eastAsia="方正小标宋简体" w:cs="宋体"/>
          <w:color w:val="auto"/>
          <w:sz w:val="44"/>
          <w:szCs w:val="44"/>
          <w:lang w:val="en-US" w:eastAsia="zh-CN"/>
        </w:rPr>
        <w:t>北京</w:t>
      </w:r>
      <w:r>
        <w:rPr>
          <w:rStyle w:val="35"/>
          <w:rFonts w:ascii="方正小标宋简体" w:hAnsi="方正小标宋简体" w:eastAsia="方正小标宋简体" w:cs="宋体"/>
          <w:color w:val="auto"/>
          <w:sz w:val="44"/>
          <w:szCs w:val="44"/>
        </w:rPr>
        <w:t>分公司统一标识</w:t>
      </w:r>
      <w:r>
        <w:rPr>
          <w:rStyle w:val="35"/>
          <w:rFonts w:hint="eastAsia" w:ascii="方正小标宋简体" w:hAnsi="方正小标宋简体" w:eastAsia="方正小标宋简体" w:cs="宋体"/>
          <w:color w:val="auto"/>
          <w:sz w:val="44"/>
          <w:szCs w:val="44"/>
        </w:rPr>
        <w:t>采购</w:t>
      </w:r>
      <w:r>
        <w:rPr>
          <w:rStyle w:val="35"/>
          <w:rFonts w:ascii="方正小标宋简体" w:hAnsi="方正小标宋简体" w:eastAsia="方正小标宋简体" w:cs="宋体"/>
          <w:color w:val="auto"/>
          <w:sz w:val="44"/>
          <w:szCs w:val="44"/>
        </w:rPr>
        <w:t>制作安装</w:t>
      </w:r>
      <w:r>
        <w:rPr>
          <w:rStyle w:val="35"/>
          <w:rFonts w:hint="eastAsia" w:ascii="方正小标宋简体" w:hAnsi="方正小标宋简体" w:eastAsia="方正小标宋简体" w:cs="宋体"/>
          <w:color w:val="auto"/>
          <w:sz w:val="44"/>
          <w:szCs w:val="44"/>
        </w:rPr>
        <w:t>合同</w:t>
      </w:r>
    </w:p>
    <w:p w14:paraId="3EC4A639">
      <w:pPr>
        <w:adjustRightInd w:val="0"/>
        <w:snapToGrid w:val="0"/>
        <w:ind w:left="5990" w:leftChars="2067" w:hanging="1029" w:hangingChars="429"/>
        <w:rPr>
          <w:color w:val="auto"/>
        </w:rPr>
      </w:pPr>
      <w:r>
        <w:rPr>
          <w:color w:val="auto"/>
        </w:rPr>
        <w:t>合同编号：</w:t>
      </w:r>
      <w:r>
        <w:rPr>
          <w:rFonts w:hint="eastAsia"/>
          <w:color w:val="auto"/>
        </w:rPr>
        <w:t xml:space="preserve">      </w:t>
      </w:r>
    </w:p>
    <w:p w14:paraId="1929B52C">
      <w:pPr>
        <w:adjustRightInd w:val="0"/>
        <w:snapToGrid w:val="0"/>
        <w:ind w:left="5990" w:leftChars="2067" w:hanging="1029" w:hangingChars="429"/>
        <w:rPr>
          <w:color w:val="auto"/>
        </w:rPr>
      </w:pPr>
      <w:r>
        <w:rPr>
          <w:rFonts w:hint="eastAsia"/>
          <w:color w:val="auto"/>
        </w:rPr>
        <w:t>签订日期：XXXX年XX月XX日</w:t>
      </w:r>
    </w:p>
    <w:p w14:paraId="70181201">
      <w:pPr>
        <w:ind w:left="5990" w:leftChars="2067" w:hanging="1029" w:hangingChars="429"/>
        <w:rPr>
          <w:color w:val="auto"/>
        </w:rPr>
      </w:pPr>
      <w:r>
        <w:rPr>
          <w:rFonts w:hint="eastAsia"/>
          <w:color w:val="auto"/>
        </w:rPr>
        <w:t>签订地点：   市   区</w:t>
      </w:r>
    </w:p>
    <w:p w14:paraId="667792F8">
      <w:pPr>
        <w:spacing w:line="360" w:lineRule="auto"/>
        <w:rPr>
          <w:color w:val="auto"/>
        </w:rPr>
      </w:pPr>
    </w:p>
    <w:p w14:paraId="144E0F6F">
      <w:pPr>
        <w:spacing w:line="360" w:lineRule="auto"/>
        <w:ind w:firstLine="482" w:firstLineChars="200"/>
        <w:rPr>
          <w:color w:val="auto"/>
        </w:rPr>
      </w:pPr>
      <w:r>
        <w:rPr>
          <w:rFonts w:hint="eastAsia"/>
          <w:b/>
          <w:bCs/>
          <w:color w:val="auto"/>
        </w:rPr>
        <w:t>甲方（买方）：</w:t>
      </w:r>
      <w:r>
        <w:rPr>
          <w:b/>
          <w:bCs/>
          <w:color w:val="auto"/>
        </w:rPr>
        <w:t>安徽安天利信工程管理股份有限公司</w:t>
      </w:r>
    </w:p>
    <w:p w14:paraId="11B2D8EA">
      <w:pPr>
        <w:spacing w:line="360" w:lineRule="auto"/>
        <w:ind w:firstLine="480" w:firstLineChars="200"/>
        <w:rPr>
          <w:color w:val="auto"/>
        </w:rPr>
      </w:pPr>
      <w:r>
        <w:rPr>
          <w:rFonts w:hint="eastAsia"/>
          <w:color w:val="auto"/>
        </w:rPr>
        <w:t>统一社会信用代码：</w:t>
      </w:r>
      <w:r>
        <w:rPr>
          <w:color w:val="auto"/>
        </w:rPr>
        <w:t>91340000752993244W</w:t>
      </w:r>
    </w:p>
    <w:p w14:paraId="15383658">
      <w:pPr>
        <w:spacing w:line="360" w:lineRule="auto"/>
        <w:ind w:firstLine="480" w:firstLineChars="200"/>
        <w:rPr>
          <w:color w:val="auto"/>
        </w:rPr>
      </w:pPr>
      <w:r>
        <w:rPr>
          <w:rFonts w:hint="eastAsia"/>
          <w:color w:val="auto"/>
        </w:rPr>
        <w:t>法定代表人：沈家桓</w:t>
      </w:r>
    </w:p>
    <w:p w14:paraId="28897D53">
      <w:pPr>
        <w:spacing w:line="360" w:lineRule="auto"/>
        <w:ind w:firstLine="480" w:firstLineChars="200"/>
        <w:rPr>
          <w:color w:val="auto"/>
        </w:rPr>
      </w:pPr>
      <w:r>
        <w:rPr>
          <w:rFonts w:hint="eastAsia"/>
          <w:color w:val="auto"/>
        </w:rPr>
        <w:t>地址：安徽省合肥市蜀山区井岗镇蜀鑫路</w:t>
      </w:r>
      <w:r>
        <w:rPr>
          <w:color w:val="auto"/>
        </w:rPr>
        <w:t>69</w:t>
      </w:r>
      <w:r>
        <w:rPr>
          <w:rFonts w:hint="eastAsia"/>
          <w:color w:val="auto"/>
        </w:rPr>
        <w:t>号</w:t>
      </w:r>
    </w:p>
    <w:p w14:paraId="3D99AB33">
      <w:pPr>
        <w:spacing w:line="360" w:lineRule="auto"/>
        <w:ind w:firstLine="480" w:firstLineChars="200"/>
        <w:rPr>
          <w:color w:val="auto"/>
        </w:rPr>
      </w:pPr>
      <w:r>
        <w:rPr>
          <w:rFonts w:hint="eastAsia"/>
          <w:color w:val="auto"/>
        </w:rPr>
        <w:t xml:space="preserve">                                         </w:t>
      </w:r>
    </w:p>
    <w:p w14:paraId="4B499965">
      <w:pPr>
        <w:spacing w:line="360" w:lineRule="auto"/>
        <w:ind w:firstLine="482" w:firstLineChars="200"/>
        <w:rPr>
          <w:color w:val="auto"/>
        </w:rPr>
      </w:pPr>
      <w:r>
        <w:rPr>
          <w:rFonts w:hint="eastAsia"/>
          <w:b/>
          <w:bCs/>
          <w:color w:val="auto"/>
        </w:rPr>
        <w:t>乙方（卖方）</w:t>
      </w:r>
      <w:r>
        <w:rPr>
          <w:rFonts w:hint="eastAsia"/>
          <w:color w:val="auto"/>
        </w:rPr>
        <w:t xml:space="preserve">：                                      </w:t>
      </w:r>
    </w:p>
    <w:p w14:paraId="618E97AC">
      <w:pPr>
        <w:spacing w:line="360" w:lineRule="auto"/>
        <w:ind w:firstLine="480" w:firstLineChars="200"/>
        <w:rPr>
          <w:color w:val="auto"/>
        </w:rPr>
      </w:pPr>
      <w:r>
        <w:rPr>
          <w:rFonts w:hint="eastAsia"/>
          <w:color w:val="auto"/>
        </w:rPr>
        <w:t>统一社会信用代码/身份证号：</w:t>
      </w:r>
    </w:p>
    <w:p w14:paraId="365D9579">
      <w:pPr>
        <w:spacing w:line="360" w:lineRule="auto"/>
        <w:ind w:firstLine="480" w:firstLineChars="200"/>
        <w:rPr>
          <w:color w:val="auto"/>
        </w:rPr>
      </w:pPr>
      <w:r>
        <w:rPr>
          <w:rFonts w:hint="eastAsia"/>
          <w:color w:val="auto"/>
        </w:rPr>
        <w:t>法定代表人：</w:t>
      </w:r>
    </w:p>
    <w:p w14:paraId="3F3C23B1">
      <w:pPr>
        <w:spacing w:line="360" w:lineRule="auto"/>
        <w:ind w:firstLine="480" w:firstLineChars="200"/>
        <w:rPr>
          <w:color w:val="auto"/>
        </w:rPr>
      </w:pPr>
      <w:r>
        <w:rPr>
          <w:rFonts w:hint="eastAsia"/>
          <w:color w:val="auto"/>
        </w:rPr>
        <w:t>地址：</w:t>
      </w:r>
    </w:p>
    <w:p w14:paraId="013203E3">
      <w:pPr>
        <w:spacing w:line="360" w:lineRule="auto"/>
        <w:ind w:firstLine="480" w:firstLineChars="200"/>
        <w:rPr>
          <w:color w:val="auto"/>
        </w:rPr>
      </w:pPr>
    </w:p>
    <w:p w14:paraId="76CBD2FC">
      <w:pPr>
        <w:pStyle w:val="12"/>
        <w:spacing w:before="0" w:beforeAutospacing="0" w:after="0" w:afterAutospacing="0" w:line="360" w:lineRule="auto"/>
        <w:ind w:firstLine="480" w:firstLineChars="200"/>
        <w:rPr>
          <w:rFonts w:cs="宋体"/>
          <w:color w:val="auto"/>
        </w:rPr>
      </w:pPr>
      <w:r>
        <w:rPr>
          <w:rFonts w:hint="eastAsia" w:cs="宋体"/>
          <w:color w:val="auto"/>
        </w:rPr>
        <w:t>根据《中华人民共和国民法典》规定，本着平等互利、诚实信用的原则，甲乙双方经友好协商，就甲方向乙方采购</w:t>
      </w:r>
      <w:r>
        <w:rPr>
          <w:rFonts w:hint="eastAsia" w:cs="宋体"/>
          <w:color w:val="auto"/>
          <w:u w:val="single"/>
        </w:rPr>
        <w:t xml:space="preserve"> </w:t>
      </w:r>
      <w:r>
        <w:rPr>
          <w:rFonts w:cs="宋体"/>
          <w:color w:val="auto"/>
          <w:u w:val="single"/>
        </w:rPr>
        <w:t>统一标识制作安装</w:t>
      </w:r>
      <w:r>
        <w:rPr>
          <w:rFonts w:hint="eastAsia" w:cs="宋体"/>
          <w:color w:val="auto"/>
          <w:u w:val="single"/>
        </w:rPr>
        <w:t xml:space="preserve"> 服务</w:t>
      </w:r>
      <w:r>
        <w:rPr>
          <w:rFonts w:hint="eastAsia" w:cs="宋体"/>
          <w:color w:val="auto"/>
        </w:rPr>
        <w:t>事宜达成如下协议，以资共同遵守。</w:t>
      </w:r>
    </w:p>
    <w:p w14:paraId="0469FE3F">
      <w:pPr>
        <w:pStyle w:val="12"/>
        <w:spacing w:before="0" w:beforeAutospacing="0" w:after="0" w:afterAutospacing="0" w:line="360" w:lineRule="auto"/>
        <w:ind w:firstLine="482" w:firstLineChars="200"/>
        <w:rPr>
          <w:rFonts w:cs="宋体"/>
          <w:b/>
          <w:bCs/>
          <w:color w:val="auto"/>
        </w:rPr>
      </w:pPr>
      <w:r>
        <w:rPr>
          <w:rFonts w:hint="eastAsia" w:cs="宋体"/>
          <w:b/>
          <w:bCs/>
          <w:color w:val="auto"/>
        </w:rPr>
        <w:t>第一条 货物名称、规格、数量及金额</w:t>
      </w:r>
    </w:p>
    <w:tbl>
      <w:tblPr>
        <w:tblStyle w:val="14"/>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188"/>
        <w:gridCol w:w="3286"/>
        <w:gridCol w:w="708"/>
        <w:gridCol w:w="709"/>
        <w:gridCol w:w="1276"/>
        <w:gridCol w:w="1595"/>
      </w:tblGrid>
      <w:tr w14:paraId="3308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50" w:type="dxa"/>
            <w:vAlign w:val="center"/>
          </w:tcPr>
          <w:p w14:paraId="714B56BB">
            <w:pPr>
              <w:spacing w:line="360" w:lineRule="auto"/>
              <w:jc w:val="center"/>
              <w:rPr>
                <w:b/>
                <w:bCs/>
                <w:color w:val="auto"/>
                <w:sz w:val="20"/>
                <w:szCs w:val="22"/>
              </w:rPr>
            </w:pPr>
            <w:r>
              <w:rPr>
                <w:rFonts w:hint="eastAsia"/>
                <w:b/>
                <w:bCs/>
                <w:color w:val="auto"/>
                <w:sz w:val="20"/>
                <w:szCs w:val="22"/>
              </w:rPr>
              <w:t>项目</w:t>
            </w:r>
          </w:p>
        </w:tc>
        <w:tc>
          <w:tcPr>
            <w:tcW w:w="1188" w:type="dxa"/>
            <w:vAlign w:val="center"/>
          </w:tcPr>
          <w:p w14:paraId="724B2556">
            <w:pPr>
              <w:spacing w:line="360" w:lineRule="auto"/>
              <w:jc w:val="center"/>
              <w:rPr>
                <w:b/>
                <w:bCs/>
                <w:color w:val="auto"/>
                <w:sz w:val="20"/>
                <w:szCs w:val="22"/>
              </w:rPr>
            </w:pPr>
            <w:r>
              <w:rPr>
                <w:rFonts w:hint="eastAsia"/>
                <w:b/>
                <w:bCs/>
                <w:color w:val="auto"/>
                <w:sz w:val="20"/>
                <w:szCs w:val="22"/>
              </w:rPr>
              <w:t>类别</w:t>
            </w:r>
          </w:p>
        </w:tc>
        <w:tc>
          <w:tcPr>
            <w:tcW w:w="3286" w:type="dxa"/>
            <w:vAlign w:val="center"/>
          </w:tcPr>
          <w:p w14:paraId="47E4598A">
            <w:pPr>
              <w:spacing w:line="360" w:lineRule="auto"/>
              <w:jc w:val="center"/>
              <w:rPr>
                <w:b/>
                <w:bCs/>
                <w:color w:val="auto"/>
                <w:sz w:val="20"/>
                <w:szCs w:val="22"/>
              </w:rPr>
            </w:pPr>
            <w:r>
              <w:rPr>
                <w:rFonts w:hint="eastAsia"/>
                <w:b/>
                <w:bCs/>
                <w:color w:val="auto"/>
                <w:sz w:val="20"/>
                <w:szCs w:val="22"/>
              </w:rPr>
              <w:t>规格</w:t>
            </w:r>
          </w:p>
        </w:tc>
        <w:tc>
          <w:tcPr>
            <w:tcW w:w="708" w:type="dxa"/>
            <w:vAlign w:val="center"/>
          </w:tcPr>
          <w:p w14:paraId="1E4BE25E">
            <w:pPr>
              <w:spacing w:line="360" w:lineRule="auto"/>
              <w:jc w:val="center"/>
              <w:rPr>
                <w:b/>
                <w:bCs/>
                <w:color w:val="auto"/>
                <w:sz w:val="20"/>
                <w:szCs w:val="22"/>
              </w:rPr>
            </w:pPr>
            <w:r>
              <w:rPr>
                <w:rFonts w:hint="eastAsia"/>
                <w:b/>
                <w:bCs/>
                <w:color w:val="auto"/>
                <w:sz w:val="20"/>
                <w:szCs w:val="22"/>
              </w:rPr>
              <w:t>数量</w:t>
            </w:r>
          </w:p>
        </w:tc>
        <w:tc>
          <w:tcPr>
            <w:tcW w:w="709" w:type="dxa"/>
            <w:vAlign w:val="center"/>
          </w:tcPr>
          <w:p w14:paraId="603804D1">
            <w:pPr>
              <w:spacing w:line="360" w:lineRule="auto"/>
              <w:jc w:val="center"/>
              <w:rPr>
                <w:b/>
                <w:bCs/>
                <w:color w:val="auto"/>
                <w:sz w:val="20"/>
                <w:szCs w:val="22"/>
              </w:rPr>
            </w:pPr>
            <w:r>
              <w:rPr>
                <w:rFonts w:hint="eastAsia"/>
                <w:b/>
                <w:bCs/>
                <w:color w:val="auto"/>
                <w:sz w:val="20"/>
                <w:szCs w:val="22"/>
              </w:rPr>
              <w:t>单位</w:t>
            </w:r>
          </w:p>
        </w:tc>
        <w:tc>
          <w:tcPr>
            <w:tcW w:w="1276" w:type="dxa"/>
            <w:vAlign w:val="center"/>
          </w:tcPr>
          <w:p w14:paraId="601DA981">
            <w:pPr>
              <w:spacing w:line="360" w:lineRule="auto"/>
              <w:jc w:val="center"/>
              <w:rPr>
                <w:b/>
                <w:bCs/>
                <w:color w:val="auto"/>
                <w:sz w:val="20"/>
                <w:szCs w:val="22"/>
              </w:rPr>
            </w:pPr>
            <w:r>
              <w:rPr>
                <w:rFonts w:hint="eastAsia"/>
                <w:b/>
                <w:bCs/>
                <w:color w:val="auto"/>
                <w:sz w:val="20"/>
                <w:szCs w:val="22"/>
              </w:rPr>
              <w:t>单价（元）</w:t>
            </w:r>
          </w:p>
        </w:tc>
        <w:tc>
          <w:tcPr>
            <w:tcW w:w="1595" w:type="dxa"/>
            <w:vAlign w:val="center"/>
          </w:tcPr>
          <w:p w14:paraId="6CFCA30F">
            <w:pPr>
              <w:spacing w:line="360" w:lineRule="auto"/>
              <w:jc w:val="center"/>
              <w:rPr>
                <w:b/>
                <w:bCs/>
                <w:color w:val="auto"/>
                <w:sz w:val="20"/>
                <w:szCs w:val="22"/>
              </w:rPr>
            </w:pPr>
            <w:r>
              <w:rPr>
                <w:rFonts w:hint="eastAsia"/>
                <w:b/>
                <w:bCs/>
                <w:color w:val="auto"/>
                <w:sz w:val="20"/>
                <w:szCs w:val="22"/>
              </w:rPr>
              <w:t>总价（含税）</w:t>
            </w:r>
          </w:p>
        </w:tc>
      </w:tr>
      <w:tr w14:paraId="12F3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0" w:type="dxa"/>
            <w:vAlign w:val="center"/>
          </w:tcPr>
          <w:p w14:paraId="66DF34DC">
            <w:pPr>
              <w:spacing w:line="360" w:lineRule="auto"/>
              <w:jc w:val="center"/>
              <w:rPr>
                <w:color w:val="auto"/>
                <w:sz w:val="16"/>
                <w:szCs w:val="16"/>
              </w:rPr>
            </w:pPr>
          </w:p>
        </w:tc>
        <w:tc>
          <w:tcPr>
            <w:tcW w:w="1188" w:type="dxa"/>
            <w:vAlign w:val="center"/>
          </w:tcPr>
          <w:p w14:paraId="1BFBD78E">
            <w:pPr>
              <w:spacing w:line="360" w:lineRule="auto"/>
              <w:jc w:val="center"/>
              <w:rPr>
                <w:color w:val="auto"/>
                <w:sz w:val="16"/>
                <w:szCs w:val="16"/>
              </w:rPr>
            </w:pPr>
          </w:p>
        </w:tc>
        <w:tc>
          <w:tcPr>
            <w:tcW w:w="3286" w:type="dxa"/>
            <w:vAlign w:val="center"/>
          </w:tcPr>
          <w:p w14:paraId="27893130">
            <w:pPr>
              <w:spacing w:line="360" w:lineRule="auto"/>
              <w:rPr>
                <w:color w:val="auto"/>
                <w:sz w:val="16"/>
                <w:szCs w:val="16"/>
              </w:rPr>
            </w:pPr>
          </w:p>
        </w:tc>
        <w:tc>
          <w:tcPr>
            <w:tcW w:w="708" w:type="dxa"/>
            <w:vAlign w:val="center"/>
          </w:tcPr>
          <w:p w14:paraId="5530C6AB">
            <w:pPr>
              <w:spacing w:line="360" w:lineRule="auto"/>
              <w:jc w:val="center"/>
              <w:rPr>
                <w:color w:val="auto"/>
                <w:sz w:val="16"/>
                <w:szCs w:val="16"/>
              </w:rPr>
            </w:pPr>
          </w:p>
        </w:tc>
        <w:tc>
          <w:tcPr>
            <w:tcW w:w="709" w:type="dxa"/>
            <w:vAlign w:val="center"/>
          </w:tcPr>
          <w:p w14:paraId="4B426BDB">
            <w:pPr>
              <w:spacing w:line="360" w:lineRule="auto"/>
              <w:jc w:val="center"/>
              <w:rPr>
                <w:color w:val="auto"/>
                <w:sz w:val="16"/>
                <w:szCs w:val="16"/>
              </w:rPr>
            </w:pPr>
          </w:p>
        </w:tc>
        <w:tc>
          <w:tcPr>
            <w:tcW w:w="1276" w:type="dxa"/>
            <w:vAlign w:val="center"/>
          </w:tcPr>
          <w:p w14:paraId="4E309350">
            <w:pPr>
              <w:spacing w:line="360" w:lineRule="auto"/>
              <w:jc w:val="center"/>
              <w:rPr>
                <w:color w:val="auto"/>
                <w:sz w:val="16"/>
                <w:szCs w:val="16"/>
              </w:rPr>
            </w:pPr>
          </w:p>
        </w:tc>
        <w:tc>
          <w:tcPr>
            <w:tcW w:w="1595" w:type="dxa"/>
            <w:vAlign w:val="center"/>
          </w:tcPr>
          <w:p w14:paraId="38904D56">
            <w:pPr>
              <w:spacing w:line="360" w:lineRule="auto"/>
              <w:jc w:val="center"/>
              <w:rPr>
                <w:color w:val="auto"/>
                <w:sz w:val="16"/>
                <w:szCs w:val="16"/>
              </w:rPr>
            </w:pPr>
          </w:p>
        </w:tc>
      </w:tr>
      <w:tr w14:paraId="5159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0" w:type="dxa"/>
            <w:vAlign w:val="center"/>
          </w:tcPr>
          <w:p w14:paraId="2BCAE7B9">
            <w:pPr>
              <w:spacing w:line="360" w:lineRule="auto"/>
              <w:jc w:val="center"/>
              <w:rPr>
                <w:color w:val="auto"/>
                <w:sz w:val="16"/>
                <w:szCs w:val="16"/>
              </w:rPr>
            </w:pPr>
          </w:p>
        </w:tc>
        <w:tc>
          <w:tcPr>
            <w:tcW w:w="1188" w:type="dxa"/>
            <w:vAlign w:val="center"/>
          </w:tcPr>
          <w:p w14:paraId="222872E2">
            <w:pPr>
              <w:spacing w:line="360" w:lineRule="auto"/>
              <w:jc w:val="center"/>
              <w:rPr>
                <w:color w:val="auto"/>
                <w:sz w:val="16"/>
                <w:szCs w:val="16"/>
              </w:rPr>
            </w:pPr>
          </w:p>
        </w:tc>
        <w:tc>
          <w:tcPr>
            <w:tcW w:w="3286" w:type="dxa"/>
            <w:vAlign w:val="center"/>
          </w:tcPr>
          <w:p w14:paraId="04CC174E">
            <w:pPr>
              <w:spacing w:line="360" w:lineRule="auto"/>
              <w:rPr>
                <w:color w:val="auto"/>
                <w:sz w:val="16"/>
                <w:szCs w:val="16"/>
              </w:rPr>
            </w:pPr>
          </w:p>
        </w:tc>
        <w:tc>
          <w:tcPr>
            <w:tcW w:w="708" w:type="dxa"/>
            <w:vAlign w:val="center"/>
          </w:tcPr>
          <w:p w14:paraId="24A6BE97">
            <w:pPr>
              <w:spacing w:line="360" w:lineRule="auto"/>
              <w:jc w:val="center"/>
              <w:rPr>
                <w:color w:val="auto"/>
                <w:sz w:val="16"/>
                <w:szCs w:val="16"/>
              </w:rPr>
            </w:pPr>
          </w:p>
        </w:tc>
        <w:tc>
          <w:tcPr>
            <w:tcW w:w="709" w:type="dxa"/>
            <w:vAlign w:val="center"/>
          </w:tcPr>
          <w:p w14:paraId="2BEA63A0">
            <w:pPr>
              <w:spacing w:line="360" w:lineRule="auto"/>
              <w:jc w:val="center"/>
              <w:rPr>
                <w:color w:val="auto"/>
                <w:sz w:val="16"/>
                <w:szCs w:val="16"/>
              </w:rPr>
            </w:pPr>
          </w:p>
        </w:tc>
        <w:tc>
          <w:tcPr>
            <w:tcW w:w="1276" w:type="dxa"/>
            <w:vAlign w:val="center"/>
          </w:tcPr>
          <w:p w14:paraId="59FCB083">
            <w:pPr>
              <w:spacing w:line="360" w:lineRule="auto"/>
              <w:jc w:val="center"/>
              <w:rPr>
                <w:color w:val="auto"/>
                <w:sz w:val="16"/>
                <w:szCs w:val="16"/>
              </w:rPr>
            </w:pPr>
          </w:p>
        </w:tc>
        <w:tc>
          <w:tcPr>
            <w:tcW w:w="1595" w:type="dxa"/>
            <w:vAlign w:val="center"/>
          </w:tcPr>
          <w:p w14:paraId="4E0C850E">
            <w:pPr>
              <w:spacing w:line="360" w:lineRule="auto"/>
              <w:jc w:val="center"/>
              <w:rPr>
                <w:color w:val="auto"/>
                <w:sz w:val="16"/>
                <w:szCs w:val="16"/>
              </w:rPr>
            </w:pPr>
          </w:p>
        </w:tc>
      </w:tr>
      <w:tr w14:paraId="3FD5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0" w:type="dxa"/>
            <w:vAlign w:val="center"/>
          </w:tcPr>
          <w:p w14:paraId="680892D8">
            <w:pPr>
              <w:spacing w:line="360" w:lineRule="auto"/>
              <w:jc w:val="center"/>
              <w:rPr>
                <w:color w:val="auto"/>
                <w:sz w:val="16"/>
                <w:szCs w:val="16"/>
              </w:rPr>
            </w:pPr>
          </w:p>
        </w:tc>
        <w:tc>
          <w:tcPr>
            <w:tcW w:w="1188" w:type="dxa"/>
            <w:vAlign w:val="center"/>
          </w:tcPr>
          <w:p w14:paraId="2BF66A19">
            <w:pPr>
              <w:spacing w:line="360" w:lineRule="auto"/>
              <w:jc w:val="center"/>
              <w:rPr>
                <w:color w:val="auto"/>
                <w:sz w:val="16"/>
                <w:szCs w:val="16"/>
              </w:rPr>
            </w:pPr>
          </w:p>
        </w:tc>
        <w:tc>
          <w:tcPr>
            <w:tcW w:w="3286" w:type="dxa"/>
            <w:vAlign w:val="center"/>
          </w:tcPr>
          <w:p w14:paraId="2750FDB3">
            <w:pPr>
              <w:spacing w:line="360" w:lineRule="auto"/>
              <w:rPr>
                <w:color w:val="auto"/>
                <w:sz w:val="16"/>
                <w:szCs w:val="16"/>
              </w:rPr>
            </w:pPr>
          </w:p>
        </w:tc>
        <w:tc>
          <w:tcPr>
            <w:tcW w:w="708" w:type="dxa"/>
            <w:vAlign w:val="center"/>
          </w:tcPr>
          <w:p w14:paraId="692193D7">
            <w:pPr>
              <w:spacing w:line="360" w:lineRule="auto"/>
              <w:jc w:val="center"/>
              <w:rPr>
                <w:color w:val="auto"/>
                <w:sz w:val="16"/>
                <w:szCs w:val="16"/>
              </w:rPr>
            </w:pPr>
          </w:p>
        </w:tc>
        <w:tc>
          <w:tcPr>
            <w:tcW w:w="709" w:type="dxa"/>
            <w:vAlign w:val="center"/>
          </w:tcPr>
          <w:p w14:paraId="48319AD0">
            <w:pPr>
              <w:spacing w:line="360" w:lineRule="auto"/>
              <w:jc w:val="center"/>
              <w:rPr>
                <w:color w:val="auto"/>
                <w:sz w:val="16"/>
                <w:szCs w:val="16"/>
              </w:rPr>
            </w:pPr>
          </w:p>
        </w:tc>
        <w:tc>
          <w:tcPr>
            <w:tcW w:w="1276" w:type="dxa"/>
            <w:vAlign w:val="center"/>
          </w:tcPr>
          <w:p w14:paraId="320CF322">
            <w:pPr>
              <w:spacing w:line="360" w:lineRule="auto"/>
              <w:jc w:val="center"/>
              <w:rPr>
                <w:color w:val="auto"/>
                <w:sz w:val="16"/>
                <w:szCs w:val="16"/>
              </w:rPr>
            </w:pPr>
          </w:p>
        </w:tc>
        <w:tc>
          <w:tcPr>
            <w:tcW w:w="1595" w:type="dxa"/>
            <w:vAlign w:val="center"/>
          </w:tcPr>
          <w:p w14:paraId="35D82376">
            <w:pPr>
              <w:spacing w:line="360" w:lineRule="auto"/>
              <w:jc w:val="center"/>
              <w:rPr>
                <w:color w:val="auto"/>
                <w:sz w:val="16"/>
                <w:szCs w:val="16"/>
              </w:rPr>
            </w:pPr>
          </w:p>
        </w:tc>
      </w:tr>
      <w:tr w14:paraId="03D5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0" w:type="dxa"/>
            <w:vAlign w:val="center"/>
          </w:tcPr>
          <w:p w14:paraId="739DAD0D">
            <w:pPr>
              <w:spacing w:line="360" w:lineRule="auto"/>
              <w:jc w:val="center"/>
              <w:rPr>
                <w:color w:val="auto"/>
                <w:sz w:val="16"/>
                <w:szCs w:val="16"/>
              </w:rPr>
            </w:pPr>
          </w:p>
        </w:tc>
        <w:tc>
          <w:tcPr>
            <w:tcW w:w="1188" w:type="dxa"/>
            <w:vAlign w:val="center"/>
          </w:tcPr>
          <w:p w14:paraId="0304C6C2">
            <w:pPr>
              <w:spacing w:line="360" w:lineRule="auto"/>
              <w:jc w:val="center"/>
              <w:rPr>
                <w:color w:val="auto"/>
                <w:sz w:val="16"/>
                <w:szCs w:val="16"/>
              </w:rPr>
            </w:pPr>
          </w:p>
        </w:tc>
        <w:tc>
          <w:tcPr>
            <w:tcW w:w="3286" w:type="dxa"/>
            <w:vAlign w:val="center"/>
          </w:tcPr>
          <w:p w14:paraId="6949BDD7">
            <w:pPr>
              <w:spacing w:line="360" w:lineRule="auto"/>
              <w:rPr>
                <w:color w:val="auto"/>
                <w:sz w:val="16"/>
                <w:szCs w:val="16"/>
              </w:rPr>
            </w:pPr>
          </w:p>
        </w:tc>
        <w:tc>
          <w:tcPr>
            <w:tcW w:w="708" w:type="dxa"/>
            <w:vAlign w:val="center"/>
          </w:tcPr>
          <w:p w14:paraId="4D04D83E">
            <w:pPr>
              <w:spacing w:line="360" w:lineRule="auto"/>
              <w:jc w:val="center"/>
              <w:rPr>
                <w:color w:val="auto"/>
                <w:sz w:val="16"/>
                <w:szCs w:val="16"/>
              </w:rPr>
            </w:pPr>
          </w:p>
        </w:tc>
        <w:tc>
          <w:tcPr>
            <w:tcW w:w="709" w:type="dxa"/>
            <w:vAlign w:val="center"/>
          </w:tcPr>
          <w:p w14:paraId="4DE8AC06">
            <w:pPr>
              <w:spacing w:line="360" w:lineRule="auto"/>
              <w:jc w:val="center"/>
              <w:rPr>
                <w:color w:val="auto"/>
                <w:sz w:val="16"/>
                <w:szCs w:val="16"/>
              </w:rPr>
            </w:pPr>
          </w:p>
        </w:tc>
        <w:tc>
          <w:tcPr>
            <w:tcW w:w="1276" w:type="dxa"/>
            <w:vAlign w:val="center"/>
          </w:tcPr>
          <w:p w14:paraId="721C326D">
            <w:pPr>
              <w:spacing w:line="360" w:lineRule="auto"/>
              <w:jc w:val="center"/>
              <w:rPr>
                <w:color w:val="auto"/>
                <w:sz w:val="16"/>
                <w:szCs w:val="16"/>
              </w:rPr>
            </w:pPr>
          </w:p>
        </w:tc>
        <w:tc>
          <w:tcPr>
            <w:tcW w:w="1595" w:type="dxa"/>
            <w:vAlign w:val="center"/>
          </w:tcPr>
          <w:p w14:paraId="3EC76E0B">
            <w:pPr>
              <w:spacing w:line="360" w:lineRule="auto"/>
              <w:jc w:val="center"/>
              <w:rPr>
                <w:color w:val="auto"/>
                <w:sz w:val="16"/>
                <w:szCs w:val="16"/>
              </w:rPr>
            </w:pPr>
          </w:p>
        </w:tc>
      </w:tr>
      <w:tr w14:paraId="20C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0" w:type="dxa"/>
            <w:vAlign w:val="center"/>
          </w:tcPr>
          <w:p w14:paraId="2D9AF57D">
            <w:pPr>
              <w:spacing w:line="360" w:lineRule="auto"/>
              <w:jc w:val="center"/>
              <w:rPr>
                <w:color w:val="auto"/>
                <w:sz w:val="16"/>
                <w:szCs w:val="16"/>
              </w:rPr>
            </w:pPr>
          </w:p>
        </w:tc>
        <w:tc>
          <w:tcPr>
            <w:tcW w:w="1188" w:type="dxa"/>
            <w:vAlign w:val="center"/>
          </w:tcPr>
          <w:p w14:paraId="2CC87655">
            <w:pPr>
              <w:spacing w:line="360" w:lineRule="auto"/>
              <w:jc w:val="center"/>
              <w:rPr>
                <w:color w:val="auto"/>
                <w:sz w:val="16"/>
                <w:szCs w:val="16"/>
              </w:rPr>
            </w:pPr>
          </w:p>
        </w:tc>
        <w:tc>
          <w:tcPr>
            <w:tcW w:w="3286" w:type="dxa"/>
            <w:vAlign w:val="center"/>
          </w:tcPr>
          <w:p w14:paraId="21705E04">
            <w:pPr>
              <w:spacing w:line="360" w:lineRule="auto"/>
              <w:rPr>
                <w:color w:val="auto"/>
                <w:sz w:val="16"/>
                <w:szCs w:val="16"/>
              </w:rPr>
            </w:pPr>
          </w:p>
        </w:tc>
        <w:tc>
          <w:tcPr>
            <w:tcW w:w="708" w:type="dxa"/>
            <w:vAlign w:val="center"/>
          </w:tcPr>
          <w:p w14:paraId="6ED38FB3">
            <w:pPr>
              <w:spacing w:line="360" w:lineRule="auto"/>
              <w:jc w:val="center"/>
              <w:rPr>
                <w:color w:val="auto"/>
                <w:sz w:val="16"/>
                <w:szCs w:val="16"/>
              </w:rPr>
            </w:pPr>
          </w:p>
        </w:tc>
        <w:tc>
          <w:tcPr>
            <w:tcW w:w="709" w:type="dxa"/>
            <w:vAlign w:val="center"/>
          </w:tcPr>
          <w:p w14:paraId="453CB479">
            <w:pPr>
              <w:spacing w:line="360" w:lineRule="auto"/>
              <w:jc w:val="center"/>
              <w:rPr>
                <w:color w:val="auto"/>
                <w:sz w:val="16"/>
                <w:szCs w:val="16"/>
              </w:rPr>
            </w:pPr>
          </w:p>
        </w:tc>
        <w:tc>
          <w:tcPr>
            <w:tcW w:w="1276" w:type="dxa"/>
            <w:vAlign w:val="center"/>
          </w:tcPr>
          <w:p w14:paraId="44E455E8">
            <w:pPr>
              <w:spacing w:line="360" w:lineRule="auto"/>
              <w:jc w:val="center"/>
              <w:rPr>
                <w:color w:val="auto"/>
                <w:sz w:val="16"/>
                <w:szCs w:val="16"/>
              </w:rPr>
            </w:pPr>
          </w:p>
        </w:tc>
        <w:tc>
          <w:tcPr>
            <w:tcW w:w="1595" w:type="dxa"/>
            <w:vAlign w:val="center"/>
          </w:tcPr>
          <w:p w14:paraId="06C077DB">
            <w:pPr>
              <w:spacing w:line="360" w:lineRule="auto"/>
              <w:jc w:val="center"/>
              <w:rPr>
                <w:color w:val="auto"/>
                <w:sz w:val="16"/>
                <w:szCs w:val="16"/>
              </w:rPr>
            </w:pPr>
          </w:p>
        </w:tc>
      </w:tr>
      <w:tr w14:paraId="32E2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0" w:type="dxa"/>
            <w:vAlign w:val="center"/>
          </w:tcPr>
          <w:p w14:paraId="6B451FD1">
            <w:pPr>
              <w:spacing w:line="360" w:lineRule="auto"/>
              <w:jc w:val="center"/>
              <w:rPr>
                <w:color w:val="auto"/>
                <w:sz w:val="16"/>
                <w:szCs w:val="16"/>
              </w:rPr>
            </w:pPr>
          </w:p>
        </w:tc>
        <w:tc>
          <w:tcPr>
            <w:tcW w:w="1188" w:type="dxa"/>
            <w:vAlign w:val="center"/>
          </w:tcPr>
          <w:p w14:paraId="55E28B89">
            <w:pPr>
              <w:spacing w:line="360" w:lineRule="auto"/>
              <w:jc w:val="center"/>
              <w:rPr>
                <w:color w:val="auto"/>
                <w:sz w:val="16"/>
                <w:szCs w:val="16"/>
              </w:rPr>
            </w:pPr>
          </w:p>
        </w:tc>
        <w:tc>
          <w:tcPr>
            <w:tcW w:w="3286" w:type="dxa"/>
            <w:vAlign w:val="center"/>
          </w:tcPr>
          <w:p w14:paraId="6F0FF549">
            <w:pPr>
              <w:spacing w:line="360" w:lineRule="auto"/>
              <w:rPr>
                <w:color w:val="auto"/>
                <w:sz w:val="16"/>
                <w:szCs w:val="16"/>
              </w:rPr>
            </w:pPr>
          </w:p>
        </w:tc>
        <w:tc>
          <w:tcPr>
            <w:tcW w:w="708" w:type="dxa"/>
            <w:vAlign w:val="center"/>
          </w:tcPr>
          <w:p w14:paraId="5241EEA6">
            <w:pPr>
              <w:spacing w:line="360" w:lineRule="auto"/>
              <w:jc w:val="center"/>
              <w:rPr>
                <w:color w:val="auto"/>
                <w:sz w:val="16"/>
                <w:szCs w:val="16"/>
              </w:rPr>
            </w:pPr>
          </w:p>
        </w:tc>
        <w:tc>
          <w:tcPr>
            <w:tcW w:w="709" w:type="dxa"/>
            <w:vAlign w:val="center"/>
          </w:tcPr>
          <w:p w14:paraId="466D3D55">
            <w:pPr>
              <w:spacing w:line="360" w:lineRule="auto"/>
              <w:jc w:val="center"/>
              <w:rPr>
                <w:color w:val="auto"/>
                <w:sz w:val="16"/>
                <w:szCs w:val="16"/>
              </w:rPr>
            </w:pPr>
          </w:p>
        </w:tc>
        <w:tc>
          <w:tcPr>
            <w:tcW w:w="1276" w:type="dxa"/>
            <w:vAlign w:val="center"/>
          </w:tcPr>
          <w:p w14:paraId="67D6B65A">
            <w:pPr>
              <w:spacing w:line="360" w:lineRule="auto"/>
              <w:jc w:val="center"/>
              <w:rPr>
                <w:color w:val="auto"/>
                <w:sz w:val="16"/>
                <w:szCs w:val="16"/>
              </w:rPr>
            </w:pPr>
          </w:p>
        </w:tc>
        <w:tc>
          <w:tcPr>
            <w:tcW w:w="1595" w:type="dxa"/>
            <w:vAlign w:val="center"/>
          </w:tcPr>
          <w:p w14:paraId="331E77AF">
            <w:pPr>
              <w:spacing w:line="360" w:lineRule="auto"/>
              <w:jc w:val="center"/>
              <w:rPr>
                <w:color w:val="auto"/>
                <w:sz w:val="16"/>
                <w:szCs w:val="16"/>
              </w:rPr>
            </w:pPr>
          </w:p>
        </w:tc>
      </w:tr>
      <w:tr w14:paraId="6117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38" w:type="dxa"/>
            <w:gridSpan w:val="2"/>
            <w:vAlign w:val="center"/>
          </w:tcPr>
          <w:p w14:paraId="2B8B90DA">
            <w:pPr>
              <w:spacing w:line="360" w:lineRule="auto"/>
              <w:jc w:val="center"/>
              <w:rPr>
                <w:color w:val="auto"/>
                <w:sz w:val="20"/>
                <w:szCs w:val="22"/>
              </w:rPr>
            </w:pPr>
            <w:r>
              <w:rPr>
                <w:rFonts w:hint="eastAsia"/>
                <w:color w:val="auto"/>
              </w:rPr>
              <w:t>合计金额（含税）</w:t>
            </w:r>
          </w:p>
        </w:tc>
        <w:tc>
          <w:tcPr>
            <w:tcW w:w="7574" w:type="dxa"/>
            <w:gridSpan w:val="5"/>
            <w:vAlign w:val="center"/>
          </w:tcPr>
          <w:p w14:paraId="2440B2CB">
            <w:pPr>
              <w:spacing w:line="360" w:lineRule="auto"/>
              <w:rPr>
                <w:color w:val="auto"/>
                <w:sz w:val="20"/>
                <w:szCs w:val="22"/>
              </w:rPr>
            </w:pPr>
            <w:r>
              <w:rPr>
                <w:rFonts w:hint="eastAsia"/>
                <w:color w:val="auto"/>
              </w:rPr>
              <w:t>人民币小写：</w:t>
            </w:r>
            <w:r>
              <w:rPr>
                <w:rFonts w:hint="eastAsia"/>
                <w:color w:val="auto"/>
                <w:u w:val="single"/>
              </w:rPr>
              <w:t xml:space="preserve">          </w:t>
            </w:r>
            <w:r>
              <w:rPr>
                <w:rFonts w:hint="eastAsia"/>
                <w:color w:val="auto"/>
              </w:rPr>
              <w:t xml:space="preserve"> 元（大写</w:t>
            </w:r>
            <w:r>
              <w:rPr>
                <w:rFonts w:hint="eastAsia"/>
                <w:color w:val="auto"/>
                <w:u w:val="single"/>
              </w:rPr>
              <w:t xml:space="preserve">                  </w:t>
            </w:r>
            <w:r>
              <w:rPr>
                <w:rFonts w:hint="eastAsia"/>
                <w:color w:val="auto"/>
              </w:rPr>
              <w:t>元）</w:t>
            </w:r>
          </w:p>
        </w:tc>
      </w:tr>
      <w:tr w14:paraId="7778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38" w:type="dxa"/>
            <w:gridSpan w:val="2"/>
            <w:vAlign w:val="center"/>
          </w:tcPr>
          <w:p w14:paraId="6D076DE8">
            <w:pPr>
              <w:spacing w:line="360" w:lineRule="auto"/>
              <w:jc w:val="center"/>
              <w:rPr>
                <w:color w:val="auto"/>
              </w:rPr>
            </w:pPr>
          </w:p>
        </w:tc>
        <w:tc>
          <w:tcPr>
            <w:tcW w:w="7574" w:type="dxa"/>
            <w:gridSpan w:val="5"/>
            <w:vAlign w:val="center"/>
          </w:tcPr>
          <w:p w14:paraId="5110401C">
            <w:pPr>
              <w:spacing w:line="360" w:lineRule="auto"/>
              <w:rPr>
                <w:color w:val="auto"/>
              </w:rPr>
            </w:pPr>
          </w:p>
        </w:tc>
      </w:tr>
      <w:tr w14:paraId="4ED5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38" w:type="dxa"/>
            <w:gridSpan w:val="2"/>
            <w:vAlign w:val="center"/>
          </w:tcPr>
          <w:p w14:paraId="606739F6">
            <w:pPr>
              <w:spacing w:line="360" w:lineRule="auto"/>
              <w:jc w:val="center"/>
              <w:rPr>
                <w:color w:val="auto"/>
              </w:rPr>
            </w:pPr>
            <w:r>
              <w:rPr>
                <w:rFonts w:hint="eastAsia"/>
                <w:color w:val="auto"/>
              </w:rPr>
              <w:t>备注</w:t>
            </w:r>
          </w:p>
        </w:tc>
        <w:tc>
          <w:tcPr>
            <w:tcW w:w="7574" w:type="dxa"/>
            <w:gridSpan w:val="5"/>
            <w:vAlign w:val="center"/>
          </w:tcPr>
          <w:p w14:paraId="73278993">
            <w:pPr>
              <w:spacing w:line="360" w:lineRule="auto"/>
              <w:rPr>
                <w:color w:val="auto"/>
              </w:rPr>
            </w:pPr>
            <w:r>
              <w:rPr>
                <w:rFonts w:hint="eastAsia"/>
                <w:color w:val="auto"/>
              </w:rPr>
              <w:t>本价格含原材料费、制作安装费、</w:t>
            </w:r>
            <w:r>
              <w:rPr>
                <w:rFonts w:hint="eastAsia"/>
                <w:color w:val="auto"/>
                <w:u w:val="single"/>
              </w:rPr>
              <w:t xml:space="preserve">     </w:t>
            </w:r>
            <w:r>
              <w:rPr>
                <w:rFonts w:hint="eastAsia"/>
                <w:color w:val="auto"/>
              </w:rPr>
              <w:t>%增值税发票、运费、包装费、装卸费、保险费、质保服务等全部费用。</w:t>
            </w:r>
          </w:p>
        </w:tc>
      </w:tr>
    </w:tbl>
    <w:p w14:paraId="7B08C8C6">
      <w:pPr>
        <w:spacing w:line="360" w:lineRule="auto"/>
        <w:ind w:left="480" w:leftChars="200"/>
        <w:rPr>
          <w:b/>
          <w:bCs/>
          <w:color w:val="auto"/>
        </w:rPr>
      </w:pPr>
      <w:r>
        <w:rPr>
          <w:rFonts w:hint="eastAsia"/>
          <w:b/>
          <w:bCs/>
          <w:color w:val="auto"/>
        </w:rPr>
        <w:t>第二条 服务要求及服务流程</w:t>
      </w:r>
    </w:p>
    <w:p w14:paraId="1B0B4FDD">
      <w:pPr>
        <w:tabs>
          <w:tab w:val="left" w:pos="180"/>
        </w:tabs>
        <w:spacing w:line="360" w:lineRule="auto"/>
        <w:ind w:firstLine="482" w:firstLineChars="200"/>
        <w:rPr>
          <w:color w:val="auto"/>
          <w:u w:val="single"/>
        </w:rPr>
      </w:pPr>
      <w:r>
        <w:rPr>
          <w:rFonts w:hint="eastAsia"/>
          <w:b/>
          <w:bCs/>
          <w:color w:val="auto"/>
        </w:rPr>
        <w:t>1.项目地点</w:t>
      </w:r>
      <w:r>
        <w:rPr>
          <w:rFonts w:hint="eastAsia"/>
          <w:color w:val="auto"/>
        </w:rPr>
        <w:t>：</w:t>
      </w:r>
      <w:r>
        <w:rPr>
          <w:rFonts w:hint="eastAsia"/>
          <w:color w:val="auto"/>
          <w:u w:val="single"/>
          <w:lang w:val="en-US" w:eastAsia="zh-CN"/>
        </w:rPr>
        <w:t>北京市海淀区首体南路国兴大厦23楼2315</w:t>
      </w:r>
      <w:r>
        <w:rPr>
          <w:rFonts w:hint="eastAsia"/>
          <w:color w:val="auto"/>
          <w:u w:val="single"/>
        </w:rPr>
        <w:t>。</w:t>
      </w:r>
    </w:p>
    <w:p w14:paraId="1C03958C">
      <w:pPr>
        <w:tabs>
          <w:tab w:val="left" w:pos="180"/>
        </w:tabs>
        <w:spacing w:line="360" w:lineRule="auto"/>
        <w:ind w:firstLine="482" w:firstLineChars="200"/>
        <w:rPr>
          <w:color w:val="auto"/>
        </w:rPr>
      </w:pPr>
      <w:r>
        <w:rPr>
          <w:b/>
          <w:bCs/>
          <w:color w:val="auto"/>
        </w:rPr>
        <w:t>2.</w:t>
      </w:r>
      <w:r>
        <w:rPr>
          <w:rFonts w:hint="eastAsia"/>
          <w:b/>
          <w:bCs/>
          <w:color w:val="auto"/>
        </w:rPr>
        <w:t>完成时间</w:t>
      </w:r>
      <w:r>
        <w:rPr>
          <w:rFonts w:hint="eastAsia"/>
          <w:color w:val="auto"/>
        </w:rPr>
        <w:t>：自合同签订之日起</w:t>
      </w:r>
      <w:r>
        <w:rPr>
          <w:color w:val="auto"/>
          <w:u w:val="single"/>
        </w:rPr>
        <w:t>10</w:t>
      </w:r>
      <w:r>
        <w:rPr>
          <w:rFonts w:hint="eastAsia"/>
          <w:color w:val="auto"/>
          <w:u w:val="single"/>
        </w:rPr>
        <w:t>天</w:t>
      </w:r>
      <w:r>
        <w:rPr>
          <w:rFonts w:hint="eastAsia"/>
          <w:color w:val="auto"/>
        </w:rPr>
        <w:t>内完成制作及安装。</w:t>
      </w:r>
    </w:p>
    <w:p w14:paraId="508CE18B">
      <w:pPr>
        <w:tabs>
          <w:tab w:val="left" w:pos="180"/>
        </w:tabs>
        <w:spacing w:line="360" w:lineRule="auto"/>
        <w:ind w:firstLine="482" w:firstLineChars="200"/>
        <w:rPr>
          <w:color w:val="auto"/>
        </w:rPr>
      </w:pPr>
      <w:r>
        <w:rPr>
          <w:b/>
          <w:bCs/>
          <w:color w:val="auto"/>
        </w:rPr>
        <w:t>3.服务</w:t>
      </w:r>
      <w:r>
        <w:rPr>
          <w:rFonts w:hint="eastAsia"/>
          <w:b/>
          <w:bCs/>
          <w:color w:val="auto"/>
        </w:rPr>
        <w:t>范围</w:t>
      </w:r>
      <w:r>
        <w:rPr>
          <w:rFonts w:hint="eastAsia"/>
          <w:color w:val="auto"/>
        </w:rPr>
        <w:t>：</w:t>
      </w:r>
      <w:r>
        <w:rPr>
          <w:color w:val="auto"/>
        </w:rPr>
        <w:t>按照公司提供的</w:t>
      </w:r>
      <w:r>
        <w:rPr>
          <w:rFonts w:hint="eastAsia"/>
          <w:color w:val="auto"/>
        </w:rPr>
        <w:t>分公司</w:t>
      </w:r>
      <w:r>
        <w:rPr>
          <w:color w:val="auto"/>
        </w:rPr>
        <w:t>统一设计方案、制作清单</w:t>
      </w:r>
      <w:r>
        <w:rPr>
          <w:rFonts w:hint="eastAsia"/>
          <w:color w:val="auto"/>
        </w:rPr>
        <w:t>（详见附件）</w:t>
      </w:r>
      <w:r>
        <w:rPr>
          <w:color w:val="auto"/>
        </w:rPr>
        <w:t>，完成</w:t>
      </w:r>
      <w:r>
        <w:rPr>
          <w:rFonts w:hint="eastAsia"/>
          <w:color w:val="auto"/>
        </w:rPr>
        <w:t>现场勘察、效果设计，以及</w:t>
      </w:r>
      <w:r>
        <w:rPr>
          <w:color w:val="auto"/>
        </w:rPr>
        <w:t>原材料采购、生产制作、包装运输、现场安装</w:t>
      </w:r>
      <w:r>
        <w:rPr>
          <w:rFonts w:hint="eastAsia"/>
          <w:color w:val="auto"/>
        </w:rPr>
        <w:t>、项目验收、</w:t>
      </w:r>
      <w:r>
        <w:rPr>
          <w:color w:val="auto"/>
        </w:rPr>
        <w:t>后期质保</w:t>
      </w:r>
      <w:r>
        <w:rPr>
          <w:rFonts w:hint="eastAsia"/>
          <w:color w:val="auto"/>
        </w:rPr>
        <w:t>等</w:t>
      </w:r>
      <w:r>
        <w:rPr>
          <w:color w:val="auto"/>
        </w:rPr>
        <w:t>服务。</w:t>
      </w:r>
    </w:p>
    <w:p w14:paraId="47B5687D">
      <w:pPr>
        <w:tabs>
          <w:tab w:val="left" w:pos="180"/>
        </w:tabs>
        <w:spacing w:line="360" w:lineRule="auto"/>
        <w:ind w:firstLine="482" w:firstLineChars="200"/>
        <w:rPr>
          <w:color w:val="auto"/>
        </w:rPr>
      </w:pPr>
      <w:r>
        <w:rPr>
          <w:b/>
          <w:bCs/>
          <w:color w:val="auto"/>
        </w:rPr>
        <w:t>4.</w:t>
      </w:r>
      <w:r>
        <w:rPr>
          <w:rFonts w:hint="eastAsia"/>
          <w:b/>
          <w:bCs/>
          <w:color w:val="auto"/>
        </w:rPr>
        <w:t>技术能力</w:t>
      </w:r>
      <w:r>
        <w:rPr>
          <w:rFonts w:hint="eastAsia"/>
          <w:color w:val="auto"/>
        </w:rPr>
        <w:t>：</w:t>
      </w:r>
      <w:r>
        <w:rPr>
          <w:color w:val="auto"/>
        </w:rPr>
        <w:t>拥有专业的设计、制作、安装团队，团队成员具备3年及以上相关行业从业经验，能够准确理解公司标识设计方案，</w:t>
      </w:r>
      <w:r>
        <w:rPr>
          <w:rFonts w:hint="eastAsia"/>
          <w:color w:val="auto"/>
        </w:rPr>
        <w:t>制作前熟</w:t>
      </w:r>
      <w:r>
        <w:rPr>
          <w:color w:val="auto"/>
        </w:rPr>
        <w:t>练掌握标识制作工艺及安装规范，确保安装牢固、美观、符合安全标准</w:t>
      </w:r>
      <w:r>
        <w:rPr>
          <w:rFonts w:hint="eastAsia"/>
          <w:color w:val="auto"/>
        </w:rPr>
        <w:t>；</w:t>
      </w:r>
    </w:p>
    <w:p w14:paraId="157658D5">
      <w:pPr>
        <w:tabs>
          <w:tab w:val="left" w:pos="180"/>
        </w:tabs>
        <w:spacing w:line="360" w:lineRule="auto"/>
        <w:ind w:firstLine="482" w:firstLineChars="200"/>
        <w:rPr>
          <w:color w:val="auto"/>
        </w:rPr>
      </w:pPr>
      <w:r>
        <w:rPr>
          <w:b/>
          <w:bCs/>
          <w:color w:val="auto"/>
        </w:rPr>
        <w:t>5.</w:t>
      </w:r>
      <w:r>
        <w:rPr>
          <w:rFonts w:hint="eastAsia"/>
          <w:b/>
          <w:bCs/>
          <w:color w:val="auto"/>
        </w:rPr>
        <w:t>服务能力</w:t>
      </w:r>
      <w:r>
        <w:rPr>
          <w:rFonts w:hint="eastAsia"/>
          <w:color w:val="auto"/>
        </w:rPr>
        <w:t>：乙方应按照行业及国家标准或者符合甲方要求的方式对货物进行包装，并承担相应费用，以保证货物完好无损的送达现场，完成安装。</w:t>
      </w:r>
      <w:r>
        <w:rPr>
          <w:color w:val="auto"/>
        </w:rPr>
        <w:t>出现问题能够快速响应（24小时内响应，48小时内到达现场处理）</w:t>
      </w:r>
      <w:r>
        <w:rPr>
          <w:rFonts w:hint="eastAsia"/>
          <w:color w:val="auto"/>
        </w:rPr>
        <w:t>。</w:t>
      </w:r>
    </w:p>
    <w:p w14:paraId="783A998D">
      <w:pPr>
        <w:tabs>
          <w:tab w:val="left" w:pos="180"/>
        </w:tabs>
        <w:spacing w:line="360" w:lineRule="auto"/>
        <w:ind w:firstLine="482" w:firstLineChars="200"/>
        <w:rPr>
          <w:color w:val="auto"/>
        </w:rPr>
      </w:pPr>
      <w:r>
        <w:rPr>
          <w:b/>
          <w:bCs/>
          <w:color w:val="auto"/>
        </w:rPr>
        <w:t>6.制作工艺</w:t>
      </w:r>
      <w:r>
        <w:rPr>
          <w:color w:val="auto"/>
        </w:rPr>
        <w:t>：严格按照设计图纸及工艺标准制作，标识字体、图案、颜色、尺寸误差需控制在±1mm以内，无变形、无色差、无划痕</w:t>
      </w:r>
      <w:r>
        <w:rPr>
          <w:rFonts w:hint="eastAsia"/>
          <w:color w:val="auto"/>
        </w:rPr>
        <w:t>、</w:t>
      </w:r>
      <w:r>
        <w:rPr>
          <w:color w:val="auto"/>
        </w:rPr>
        <w:t>无毛刺，拼接处平整、牢固，无松动、无缝隙；喷绘、</w:t>
      </w:r>
      <w:r>
        <w:rPr>
          <w:rFonts w:hint="eastAsia"/>
          <w:color w:val="auto"/>
        </w:rPr>
        <w:t>U</w:t>
      </w:r>
      <w:r>
        <w:rPr>
          <w:color w:val="auto"/>
        </w:rPr>
        <w:t>V图案清晰、色彩饱满，不易褪色、不易脱落，能够适应不同环境（室内、室外、潮湿、高温等）的使用需求。</w:t>
      </w:r>
    </w:p>
    <w:p w14:paraId="7B219C92">
      <w:pPr>
        <w:spacing w:line="360" w:lineRule="auto"/>
        <w:ind w:firstLine="482" w:firstLineChars="200"/>
        <w:rPr>
          <w:color w:val="auto"/>
        </w:rPr>
      </w:pPr>
      <w:r>
        <w:rPr>
          <w:b/>
          <w:bCs/>
          <w:color w:val="auto"/>
        </w:rPr>
        <w:t>7.质量保障</w:t>
      </w:r>
      <w:r>
        <w:rPr>
          <w:color w:val="auto"/>
        </w:rPr>
        <w:t>：质保期</w:t>
      </w:r>
      <w:r>
        <w:rPr>
          <w:color w:val="auto"/>
          <w:u w:val="single"/>
        </w:rPr>
        <w:t>2</w:t>
      </w:r>
      <w:r>
        <w:rPr>
          <w:color w:val="auto"/>
        </w:rPr>
        <w:t>年（自验收合格之日起计算），质保期内，标识出现褪色、脱落、变形、松动、损坏等质量问题，或因设计、勘察、安装不当导致的故障，供应商需在24小时内响应，48小时内到达现场，免费进行维修、更换</w:t>
      </w:r>
      <w:r>
        <w:rPr>
          <w:rFonts w:hint="eastAsia"/>
          <w:color w:val="auto"/>
        </w:rPr>
        <w:t>。如乙方接甲方通知后拒绝处理或乙方修复后仍不合格的，甲方有权委托第三方代为修复，由此发生的费用由乙方承担。</w:t>
      </w:r>
    </w:p>
    <w:p w14:paraId="53809209">
      <w:pPr>
        <w:spacing w:line="360" w:lineRule="auto"/>
        <w:ind w:firstLine="482" w:firstLineChars="200"/>
        <w:rPr>
          <w:color w:val="auto"/>
        </w:rPr>
      </w:pPr>
      <w:r>
        <w:rPr>
          <w:b/>
          <w:bCs/>
          <w:color w:val="auto"/>
        </w:rPr>
        <w:t>8.</w:t>
      </w:r>
      <w:r>
        <w:rPr>
          <w:rFonts w:hint="eastAsia"/>
          <w:b/>
          <w:bCs/>
          <w:color w:val="auto"/>
        </w:rPr>
        <w:t>服务流程</w:t>
      </w:r>
      <w:r>
        <w:rPr>
          <w:rFonts w:hint="eastAsia"/>
          <w:color w:val="auto"/>
        </w:rPr>
        <w:t>：</w:t>
      </w:r>
    </w:p>
    <w:p w14:paraId="066F4CFF">
      <w:pPr>
        <w:spacing w:line="360" w:lineRule="auto"/>
        <w:ind w:firstLine="480" w:firstLineChars="200"/>
        <w:rPr>
          <w:color w:val="auto"/>
        </w:rPr>
      </w:pPr>
      <w:r>
        <w:rPr>
          <w:rFonts w:hint="eastAsia"/>
          <w:color w:val="auto"/>
        </w:rPr>
        <w:t>（1）</w:t>
      </w:r>
      <w:r>
        <w:rPr>
          <w:color w:val="auto"/>
        </w:rPr>
        <w:t>现场勘察</w:t>
      </w:r>
    </w:p>
    <w:p w14:paraId="76E9916C">
      <w:pPr>
        <w:spacing w:line="360" w:lineRule="auto"/>
        <w:ind w:firstLine="480" w:firstLineChars="200"/>
        <w:rPr>
          <w:color w:val="auto"/>
        </w:rPr>
      </w:pPr>
      <w:r>
        <w:rPr>
          <w:color w:val="auto"/>
        </w:rPr>
        <w:t>供应商需安排专业勘察人员，分公司现场，完成全面的场地测量工作，精准记录场地尺寸、墙面材质、安装环境，形成详细的</w:t>
      </w:r>
      <w:r>
        <w:rPr>
          <w:rFonts w:hint="eastAsia"/>
          <w:color w:val="auto"/>
        </w:rPr>
        <w:t>勘察记录</w:t>
      </w:r>
      <w:r>
        <w:rPr>
          <w:color w:val="auto"/>
        </w:rPr>
        <w:t>，确保后续设计、制作、安装工作贴合现场实际，避免出现尺寸不符、安装不便等问题。</w:t>
      </w:r>
    </w:p>
    <w:p w14:paraId="797CE4AD">
      <w:pPr>
        <w:spacing w:line="360" w:lineRule="auto"/>
        <w:ind w:firstLine="480" w:firstLineChars="200"/>
        <w:rPr>
          <w:color w:val="auto"/>
        </w:rPr>
      </w:pPr>
      <w:r>
        <w:rPr>
          <w:rFonts w:hint="eastAsia"/>
          <w:color w:val="auto"/>
        </w:rPr>
        <w:t>（2）深化</w:t>
      </w:r>
      <w:r>
        <w:rPr>
          <w:color w:val="auto"/>
        </w:rPr>
        <w:t>设计</w:t>
      </w:r>
    </w:p>
    <w:p w14:paraId="475DB835">
      <w:pPr>
        <w:spacing w:line="360" w:lineRule="auto"/>
        <w:ind w:firstLine="480" w:firstLineChars="200"/>
        <w:rPr>
          <w:color w:val="auto"/>
        </w:rPr>
      </w:pPr>
      <w:r>
        <w:rPr>
          <w:color w:val="auto"/>
        </w:rPr>
        <w:t>供应商需严格按照甲方提供的标识源文件，结合现场勘察</w:t>
      </w:r>
      <w:r>
        <w:rPr>
          <w:rFonts w:hint="eastAsia"/>
          <w:color w:val="auto"/>
        </w:rPr>
        <w:t>记录</w:t>
      </w:r>
      <w:r>
        <w:rPr>
          <w:color w:val="auto"/>
        </w:rPr>
        <w:t>，</w:t>
      </w:r>
      <w:r>
        <w:rPr>
          <w:rFonts w:hint="eastAsia"/>
          <w:color w:val="auto"/>
        </w:rPr>
        <w:t>对</w:t>
      </w:r>
      <w:r>
        <w:rPr>
          <w:color w:val="auto"/>
        </w:rPr>
        <w:t>场地</w:t>
      </w:r>
      <w:r>
        <w:rPr>
          <w:rFonts w:hint="eastAsia"/>
          <w:color w:val="auto"/>
        </w:rPr>
        <w:t>进行深化</w:t>
      </w:r>
      <w:r>
        <w:rPr>
          <w:color w:val="auto"/>
        </w:rPr>
        <w:t>设计调整，对标识安装</w:t>
      </w:r>
      <w:r>
        <w:rPr>
          <w:rFonts w:hint="eastAsia"/>
          <w:color w:val="auto"/>
        </w:rPr>
        <w:t>墙面</w:t>
      </w:r>
      <w:r>
        <w:rPr>
          <w:color w:val="auto"/>
        </w:rPr>
        <w:t>进行科学规划，明确标识安装位置、高度、固定方式等细节</w:t>
      </w:r>
      <w:r>
        <w:rPr>
          <w:rFonts w:hint="eastAsia"/>
          <w:color w:val="auto"/>
        </w:rPr>
        <w:t>。</w:t>
      </w:r>
      <w:r>
        <w:rPr>
          <w:color w:val="auto"/>
        </w:rPr>
        <w:t>需出具完整的设计文件，包括场地平面图（标注标识安装具体位置、尺寸参数）、标识效果图（还原标识安装后的实际呈现效果）</w:t>
      </w:r>
      <w:r>
        <w:rPr>
          <w:rFonts w:hint="eastAsia"/>
          <w:color w:val="auto"/>
        </w:rPr>
        <w:t>。</w:t>
      </w:r>
      <w:r>
        <w:rPr>
          <w:color w:val="auto"/>
        </w:rPr>
        <w:t>设计文件完成</w:t>
      </w:r>
      <w:r>
        <w:rPr>
          <w:rFonts w:hint="eastAsia"/>
          <w:color w:val="auto"/>
        </w:rPr>
        <w:t>需提交甲方审核，</w:t>
      </w:r>
      <w:r>
        <w:rPr>
          <w:color w:val="auto"/>
        </w:rPr>
        <w:t>审核通过后，方可启动制作工作，若审核不合格，需按</w:t>
      </w:r>
      <w:r>
        <w:rPr>
          <w:rFonts w:hint="eastAsia"/>
          <w:color w:val="auto"/>
        </w:rPr>
        <w:t>甲方</w:t>
      </w:r>
      <w:r>
        <w:rPr>
          <w:color w:val="auto"/>
        </w:rPr>
        <w:t>要求及时修改。</w:t>
      </w:r>
    </w:p>
    <w:p w14:paraId="7170B0BA">
      <w:pPr>
        <w:spacing w:line="360" w:lineRule="auto"/>
        <w:ind w:firstLine="480" w:firstLineChars="200"/>
        <w:rPr>
          <w:color w:val="auto"/>
        </w:rPr>
      </w:pPr>
      <w:r>
        <w:rPr>
          <w:rFonts w:hint="eastAsia"/>
          <w:color w:val="auto"/>
        </w:rPr>
        <w:t>（3）</w:t>
      </w:r>
      <w:r>
        <w:rPr>
          <w:color w:val="auto"/>
        </w:rPr>
        <w:t>制作安装</w:t>
      </w:r>
    </w:p>
    <w:p w14:paraId="0B38C9DB">
      <w:pPr>
        <w:spacing w:line="360" w:lineRule="auto"/>
        <w:ind w:firstLine="480" w:firstLineChars="200"/>
        <w:rPr>
          <w:color w:val="auto"/>
        </w:rPr>
      </w:pPr>
      <w:r>
        <w:rPr>
          <w:color w:val="auto"/>
        </w:rPr>
        <w:t>制作环节需严格按照审核通过的设计文件、技术参数及制作清单执行，选用符合要求的原材料</w:t>
      </w:r>
      <w:r>
        <w:rPr>
          <w:rFonts w:hint="eastAsia"/>
          <w:color w:val="auto"/>
        </w:rPr>
        <w:t>。</w:t>
      </w:r>
      <w:r>
        <w:rPr>
          <w:color w:val="auto"/>
        </w:rPr>
        <w:t>制作完成做好包装防护，按约定时间将标识运输至安装现场；安装环节需严格按照设计方案及安装规范操作，结合现场勘察情况，确保安装牢固、美观，符合安全标准，安装过程中做好现场保护，避免损坏原有设施，安装完成后及时清理施工垃圾，保持现场整洁。</w:t>
      </w:r>
    </w:p>
    <w:p w14:paraId="1CA49AD2">
      <w:pPr>
        <w:pStyle w:val="2"/>
        <w:tabs>
          <w:tab w:val="left" w:pos="1153"/>
        </w:tabs>
        <w:spacing w:before="0"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第四条 项目验收</w:t>
      </w:r>
    </w:p>
    <w:p w14:paraId="71D42FF8">
      <w:pPr>
        <w:spacing w:line="360" w:lineRule="auto"/>
        <w:ind w:firstLine="480" w:firstLineChars="200"/>
        <w:rPr>
          <w:color w:val="auto"/>
        </w:rPr>
      </w:pPr>
      <w:r>
        <w:rPr>
          <w:rFonts w:hint="eastAsia"/>
          <w:color w:val="auto"/>
        </w:rPr>
        <w:t>1</w:t>
      </w:r>
      <w:r>
        <w:rPr>
          <w:color w:val="auto"/>
        </w:rPr>
        <w:t>.</w:t>
      </w:r>
      <w:r>
        <w:rPr>
          <w:rFonts w:hint="eastAsia"/>
          <w:color w:val="auto"/>
        </w:rPr>
        <w:t>在</w:t>
      </w:r>
      <w:r>
        <w:rPr>
          <w:color w:val="auto"/>
        </w:rPr>
        <w:t>完成</w:t>
      </w:r>
      <w:r>
        <w:rPr>
          <w:rFonts w:hint="eastAsia"/>
          <w:color w:val="auto"/>
        </w:rPr>
        <w:t>安装</w:t>
      </w:r>
      <w:r>
        <w:rPr>
          <w:color w:val="auto"/>
        </w:rPr>
        <w:t>后，</w:t>
      </w:r>
      <w:r>
        <w:rPr>
          <w:rFonts w:hint="eastAsia"/>
          <w:color w:val="auto"/>
        </w:rPr>
        <w:t>乙方</w:t>
      </w:r>
      <w:r>
        <w:rPr>
          <w:color w:val="auto"/>
        </w:rPr>
        <w:t>需先进行自检，合格后向</w:t>
      </w:r>
      <w:r>
        <w:rPr>
          <w:rFonts w:hint="eastAsia"/>
          <w:color w:val="auto"/>
        </w:rPr>
        <w:t>甲方</w:t>
      </w:r>
      <w:r>
        <w:rPr>
          <w:color w:val="auto"/>
        </w:rPr>
        <w:t>提交验收申请，并提供完整的验收资料（包括</w:t>
      </w:r>
      <w:r>
        <w:rPr>
          <w:rFonts w:hint="eastAsia"/>
          <w:color w:val="auto"/>
        </w:rPr>
        <w:t>定稿设计</w:t>
      </w:r>
      <w:r>
        <w:rPr>
          <w:color w:val="auto"/>
        </w:rPr>
        <w:t>文件、</w:t>
      </w:r>
      <w:r>
        <w:rPr>
          <w:rFonts w:hint="eastAsia"/>
          <w:color w:val="auto"/>
        </w:rPr>
        <w:t>验收清单及对应的现场照片等）。</w:t>
      </w:r>
    </w:p>
    <w:p w14:paraId="74413A72">
      <w:pPr>
        <w:spacing w:line="360" w:lineRule="auto"/>
        <w:ind w:firstLine="480" w:firstLineChars="200"/>
        <w:rPr>
          <w:color w:val="auto"/>
        </w:rPr>
      </w:pPr>
      <w:r>
        <w:rPr>
          <w:color w:val="auto"/>
        </w:rPr>
        <w:t>2.公司将组织相关人员，按照</w:t>
      </w:r>
      <w:r>
        <w:rPr>
          <w:rFonts w:hint="eastAsia"/>
          <w:color w:val="auto"/>
        </w:rPr>
        <w:t>安装尺寸</w:t>
      </w:r>
      <w:r>
        <w:rPr>
          <w:color w:val="auto"/>
        </w:rPr>
        <w:t>、制作</w:t>
      </w:r>
      <w:r>
        <w:rPr>
          <w:rFonts w:hint="eastAsia"/>
          <w:color w:val="auto"/>
        </w:rPr>
        <w:t>数量、制作材质</w:t>
      </w:r>
      <w:r>
        <w:rPr>
          <w:color w:val="auto"/>
        </w:rPr>
        <w:t>质量、安装牢固度等进行全面验收，验收合格后签署验收确认单</w:t>
      </w:r>
      <w:r>
        <w:rPr>
          <w:rFonts w:hint="eastAsia"/>
          <w:color w:val="auto"/>
        </w:rPr>
        <w:t>。</w:t>
      </w:r>
    </w:p>
    <w:p w14:paraId="056C2346">
      <w:pPr>
        <w:spacing w:line="360" w:lineRule="auto"/>
        <w:ind w:firstLine="480" w:firstLineChars="200"/>
        <w:rPr>
          <w:color w:val="auto"/>
        </w:rPr>
      </w:pPr>
      <w:r>
        <w:rPr>
          <w:color w:val="auto"/>
        </w:rPr>
        <w:t>3.若验收不合格，供应商需在规定时间内整改，整改费用自行承担，直至验收合格，整改仍不合格的，公司有权终止合作并追究违约责任。</w:t>
      </w:r>
    </w:p>
    <w:p w14:paraId="2091F1A6">
      <w:pPr>
        <w:pStyle w:val="2"/>
        <w:tabs>
          <w:tab w:val="left" w:pos="1153"/>
        </w:tabs>
        <w:spacing w:before="0"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第五条 付款方式</w:t>
      </w:r>
    </w:p>
    <w:p w14:paraId="19F03025">
      <w:pPr>
        <w:spacing w:line="360" w:lineRule="auto"/>
        <w:ind w:firstLine="480"/>
        <w:rPr>
          <w:color w:val="auto"/>
        </w:rPr>
      </w:pPr>
      <w:r>
        <w:rPr>
          <w:color w:val="auto"/>
        </w:rPr>
        <w:t>1.</w:t>
      </w:r>
      <w:r>
        <w:rPr>
          <w:rFonts w:hint="eastAsia"/>
          <w:color w:val="auto"/>
        </w:rPr>
        <w:t>双方一致确认，本合同项下的制作安装，双方根据验收单的金额，通过公对公转账的方式进行结算。乙方应向甲方提供完整的结算资料（包括：验收清单、增值税专用发票、质检证书（如有）等），结算资料不齐全甲方有权拒绝结算和付款。</w:t>
      </w:r>
    </w:p>
    <w:p w14:paraId="2E73AFD1">
      <w:pPr>
        <w:spacing w:line="360" w:lineRule="auto"/>
        <w:ind w:firstLine="480"/>
        <w:rPr>
          <w:color w:val="auto"/>
        </w:rPr>
      </w:pPr>
      <w:r>
        <w:rPr>
          <w:color w:val="auto"/>
        </w:rPr>
        <w:t>2</w:t>
      </w:r>
      <w:r>
        <w:rPr>
          <w:rFonts w:hint="eastAsia"/>
          <w:color w:val="auto"/>
        </w:rPr>
        <w:t>.本合同约定的含税价格为乙方完成本合同义务所需一切费用（包含但不限于税费、辅材、安装、人工、运输、质保维修、政策性文件规定及合同包含的所有风险、责任、义务等产生的所有费用），乙方不会因为安装地点、人工费、货物价格、清单的完整性或费率、情势变更等原因另行向甲方主张调整或赔偿。</w:t>
      </w:r>
    </w:p>
    <w:p w14:paraId="272CBD7E">
      <w:pPr>
        <w:spacing w:line="360" w:lineRule="auto"/>
        <w:ind w:firstLine="480"/>
        <w:rPr>
          <w:color w:val="auto"/>
        </w:rPr>
      </w:pPr>
      <w:r>
        <w:rPr>
          <w:color w:val="auto"/>
        </w:rPr>
        <w:t>3.</w:t>
      </w:r>
      <w:r>
        <w:rPr>
          <w:rFonts w:hint="eastAsia"/>
          <w:color w:val="auto"/>
        </w:rPr>
        <w:t>本合同项下产品款项为含税价格；如遇国家税率调整，开票总金额按验收合格的货物和物料定制清单约定单价结算出金额为准。</w:t>
      </w:r>
    </w:p>
    <w:p w14:paraId="7A6E5912">
      <w:pPr>
        <w:spacing w:line="360" w:lineRule="auto"/>
        <w:ind w:firstLine="480"/>
        <w:rPr>
          <w:color w:val="auto"/>
        </w:rPr>
      </w:pPr>
      <w:r>
        <w:rPr>
          <w:color w:val="auto"/>
        </w:rPr>
        <w:t>4</w:t>
      </w:r>
      <w:r>
        <w:rPr>
          <w:rFonts w:hint="eastAsia"/>
          <w:color w:val="auto"/>
        </w:rPr>
        <w:t>.本合同所述违约金、罚款等相关款项均为含税金额。乙方须遵循法律、法规、规章、条例和通知，呈交所需的资料、申请和支付有关的法定费用的税项（包括但不限于增值税、印花税、所得税等其他各项因完成本合同由乙方所需缴纳的各项税款及附加税金或费用）甲方支付任一笔款项前，乙方应向甲方及时提供合法、有效及甲方可以依法入账的有效发票（增值税专用发票），甲方未收到乙方上述相应发票的，有权延期付款，且不承担任何违约责任，乙方的各项合同义务仍按合同约定履行。</w:t>
      </w:r>
    </w:p>
    <w:p w14:paraId="765C009F">
      <w:pPr>
        <w:spacing w:line="360" w:lineRule="auto"/>
        <w:ind w:firstLine="480"/>
        <w:rPr>
          <w:color w:val="auto"/>
        </w:rPr>
      </w:pPr>
      <w:r>
        <w:rPr>
          <w:color w:val="auto"/>
        </w:rPr>
        <w:t>5</w:t>
      </w:r>
      <w:r>
        <w:rPr>
          <w:rFonts w:hint="eastAsia"/>
          <w:color w:val="auto"/>
        </w:rPr>
        <w:t>.如乙方提供的发票存在以下不合规情况，乙方应在甲方发现后七个工作日内重新开具发票并交付给甲方，同时赔付给甲方造成的直接经济损失（包括但不限于税费损失、滞纳金等）：</w:t>
      </w:r>
    </w:p>
    <w:p w14:paraId="4290C1FB">
      <w:pPr>
        <w:spacing w:line="360" w:lineRule="auto"/>
        <w:ind w:firstLine="480"/>
        <w:rPr>
          <w:color w:val="auto"/>
        </w:rPr>
      </w:pPr>
      <w:r>
        <w:rPr>
          <w:rFonts w:hint="eastAsia"/>
          <w:color w:val="auto"/>
        </w:rPr>
        <w:t>（1）开具虚假、作废、无效发票或因违反国家法律法规开具、提供发票的；</w:t>
      </w:r>
    </w:p>
    <w:p w14:paraId="466E9B84">
      <w:pPr>
        <w:spacing w:line="360" w:lineRule="auto"/>
        <w:ind w:firstLine="480"/>
        <w:rPr>
          <w:color w:val="auto"/>
        </w:rPr>
      </w:pPr>
      <w:r>
        <w:rPr>
          <w:rFonts w:hint="eastAsia"/>
          <w:color w:val="auto"/>
        </w:rPr>
        <w:t>（2）开具发票种类错误，开具发票税率与合同约定不符；</w:t>
      </w:r>
    </w:p>
    <w:p w14:paraId="1C50EEEC">
      <w:pPr>
        <w:spacing w:line="360" w:lineRule="auto"/>
        <w:ind w:firstLine="480"/>
        <w:rPr>
          <w:color w:val="auto"/>
        </w:rPr>
      </w:pPr>
      <w:r>
        <w:rPr>
          <w:rFonts w:hint="eastAsia"/>
          <w:color w:val="auto"/>
        </w:rPr>
        <w:t>（3）发票上的信息错误的；</w:t>
      </w:r>
    </w:p>
    <w:p w14:paraId="67EA90A6">
      <w:pPr>
        <w:spacing w:line="360" w:lineRule="auto"/>
        <w:ind w:firstLine="480"/>
        <w:rPr>
          <w:color w:val="auto"/>
        </w:rPr>
      </w:pPr>
      <w:r>
        <w:rPr>
          <w:rFonts w:hint="eastAsia"/>
          <w:color w:val="auto"/>
        </w:rPr>
        <w:t>（4）因乙方延迟送达、开具错误等原因造成发票认证失败的；</w:t>
      </w:r>
    </w:p>
    <w:p w14:paraId="2CBC23FF">
      <w:pPr>
        <w:spacing w:line="360" w:lineRule="auto"/>
        <w:ind w:firstLine="480"/>
        <w:rPr>
          <w:color w:val="auto"/>
        </w:rPr>
      </w:pPr>
      <w:r>
        <w:rPr>
          <w:rFonts w:hint="eastAsia"/>
          <w:color w:val="auto"/>
        </w:rPr>
        <w:t>（5）其他不合规情况。</w:t>
      </w:r>
    </w:p>
    <w:p w14:paraId="48BDB27F">
      <w:pPr>
        <w:spacing w:line="360" w:lineRule="auto"/>
        <w:ind w:firstLine="480"/>
        <w:rPr>
          <w:color w:val="auto"/>
        </w:rPr>
      </w:pPr>
      <w:r>
        <w:rPr>
          <w:rFonts w:hint="eastAsia"/>
          <w:color w:val="auto"/>
        </w:rPr>
        <w:t>如因上述情形之外的发票不合规情形导致甲方未收到乙方相应发票或收到的发票无法认证抵扣的，乙方应按甲方要求配合重新提供。</w:t>
      </w:r>
    </w:p>
    <w:p w14:paraId="30758934">
      <w:pPr>
        <w:spacing w:line="360" w:lineRule="auto"/>
        <w:ind w:firstLine="480"/>
        <w:rPr>
          <w:color w:val="auto"/>
        </w:rPr>
      </w:pPr>
      <w:r>
        <w:rPr>
          <w:color w:val="auto"/>
        </w:rPr>
        <w:t>6</w:t>
      </w:r>
      <w:r>
        <w:rPr>
          <w:rFonts w:hint="eastAsia"/>
          <w:color w:val="auto"/>
        </w:rPr>
        <w:t>.乙方收款账户</w:t>
      </w:r>
    </w:p>
    <w:p w14:paraId="281D6C47">
      <w:pPr>
        <w:spacing w:line="360" w:lineRule="auto"/>
        <w:ind w:firstLine="480"/>
        <w:rPr>
          <w:b/>
          <w:bCs/>
          <w:color w:val="auto"/>
        </w:rPr>
      </w:pPr>
      <w:r>
        <w:rPr>
          <w:rFonts w:hint="eastAsia"/>
          <w:b/>
          <w:bCs/>
          <w:color w:val="auto"/>
        </w:rPr>
        <w:t>账户名称：</w:t>
      </w:r>
      <w:r>
        <w:rPr>
          <w:rFonts w:hint="eastAsia"/>
          <w:b/>
          <w:bCs/>
          <w:color w:val="auto"/>
          <w:u w:val="single"/>
        </w:rPr>
        <w:t xml:space="preserve"> </w:t>
      </w:r>
      <w:r>
        <w:rPr>
          <w:b/>
          <w:bCs/>
          <w:color w:val="auto"/>
          <w:u w:val="single"/>
        </w:rPr>
        <w:t xml:space="preserve">                   </w:t>
      </w:r>
    </w:p>
    <w:p w14:paraId="0BCFB836">
      <w:pPr>
        <w:spacing w:line="360" w:lineRule="auto"/>
        <w:ind w:firstLine="480"/>
        <w:rPr>
          <w:b/>
          <w:bCs/>
          <w:color w:val="auto"/>
        </w:rPr>
      </w:pPr>
      <w:r>
        <w:rPr>
          <w:rFonts w:hint="eastAsia"/>
          <w:b/>
          <w:bCs/>
          <w:color w:val="auto"/>
        </w:rPr>
        <w:t>银行账号：</w:t>
      </w:r>
      <w:r>
        <w:rPr>
          <w:rFonts w:hint="eastAsia"/>
          <w:b/>
          <w:bCs/>
          <w:color w:val="auto"/>
          <w:u w:val="single"/>
        </w:rPr>
        <w:t xml:space="preserve"> </w:t>
      </w:r>
      <w:r>
        <w:rPr>
          <w:b/>
          <w:bCs/>
          <w:color w:val="auto"/>
          <w:u w:val="single"/>
        </w:rPr>
        <w:t xml:space="preserve">                   </w:t>
      </w:r>
    </w:p>
    <w:p w14:paraId="3ADAAFFB">
      <w:pPr>
        <w:spacing w:line="360" w:lineRule="auto"/>
        <w:ind w:firstLine="480"/>
        <w:rPr>
          <w:b/>
          <w:bCs/>
          <w:color w:val="auto"/>
          <w:u w:val="single"/>
        </w:rPr>
      </w:pPr>
      <w:r>
        <w:rPr>
          <w:rFonts w:hint="eastAsia"/>
          <w:b/>
          <w:bCs/>
          <w:color w:val="auto"/>
        </w:rPr>
        <w:t>开户银行：</w:t>
      </w:r>
      <w:r>
        <w:rPr>
          <w:rFonts w:hint="eastAsia"/>
          <w:b/>
          <w:bCs/>
          <w:color w:val="auto"/>
          <w:u w:val="single"/>
        </w:rPr>
        <w:t xml:space="preserve"> </w:t>
      </w:r>
      <w:r>
        <w:rPr>
          <w:b/>
          <w:bCs/>
          <w:color w:val="auto"/>
          <w:u w:val="single"/>
        </w:rPr>
        <w:t xml:space="preserve">                   </w:t>
      </w:r>
    </w:p>
    <w:p w14:paraId="729E0B25">
      <w:pPr>
        <w:spacing w:line="360" w:lineRule="auto"/>
        <w:ind w:firstLine="482" w:firstLineChars="200"/>
        <w:rPr>
          <w:b/>
          <w:bCs/>
          <w:color w:val="auto"/>
        </w:rPr>
      </w:pPr>
      <w:r>
        <w:rPr>
          <w:rFonts w:hint="eastAsia"/>
          <w:b/>
          <w:bCs/>
          <w:color w:val="auto"/>
        </w:rPr>
        <w:t>第六条 售后服务</w:t>
      </w:r>
    </w:p>
    <w:p w14:paraId="341E77EA">
      <w:pPr>
        <w:spacing w:line="360" w:lineRule="auto"/>
        <w:ind w:firstLine="480" w:firstLineChars="200"/>
        <w:rPr>
          <w:color w:val="auto"/>
        </w:rPr>
      </w:pPr>
      <w:r>
        <w:rPr>
          <w:rFonts w:hint="eastAsia"/>
          <w:color w:val="auto"/>
        </w:rPr>
        <w:t>1.本合同项下货物质量保期为</w:t>
      </w:r>
      <w:r>
        <w:rPr>
          <w:rFonts w:hint="eastAsia"/>
          <w:color w:val="auto"/>
          <w:u w:val="single"/>
        </w:rPr>
        <w:t xml:space="preserve"> </w:t>
      </w:r>
      <w:r>
        <w:rPr>
          <w:color w:val="auto"/>
          <w:u w:val="single"/>
        </w:rPr>
        <w:t>2</w:t>
      </w:r>
      <w:r>
        <w:rPr>
          <w:rFonts w:hint="eastAsia"/>
          <w:color w:val="auto"/>
          <w:u w:val="single"/>
        </w:rPr>
        <w:t xml:space="preserve"> 年</w:t>
      </w:r>
      <w:r>
        <w:rPr>
          <w:rFonts w:hint="eastAsia"/>
          <w:color w:val="auto"/>
        </w:rPr>
        <w:t>，自甲方验收合格之日起算，质保范围涵盖货物因材料、制造工艺、设计原因导致缺陷，乙方对货物实行三包（包退、包换、保修）。</w:t>
      </w:r>
    </w:p>
    <w:p w14:paraId="0FEB0E06">
      <w:pPr>
        <w:spacing w:line="360" w:lineRule="auto"/>
        <w:ind w:firstLine="480" w:firstLineChars="200"/>
        <w:rPr>
          <w:color w:val="auto"/>
        </w:rPr>
      </w:pPr>
      <w:r>
        <w:rPr>
          <w:rFonts w:hint="eastAsia"/>
          <w:color w:val="auto"/>
        </w:rPr>
        <w:t>2.质保期内如出现质量问题，乙方应在接到甲方通知后</w:t>
      </w:r>
      <w:r>
        <w:rPr>
          <w:rFonts w:hint="eastAsia"/>
          <w:color w:val="auto"/>
          <w:u w:val="single"/>
        </w:rPr>
        <w:t xml:space="preserve"> 24 </w:t>
      </w:r>
      <w:r>
        <w:rPr>
          <w:rFonts w:hint="eastAsia"/>
          <w:color w:val="auto"/>
        </w:rPr>
        <w:t>小时内响应，质保期内因货物本身质量问题引起的任何故障，乙方负责免费维修或更换故障部件，并承担因此产生的一切费用（包括但不限于人工费、材料费、运输费），更换或修理后部件的质保期应重新计算。</w:t>
      </w:r>
    </w:p>
    <w:p w14:paraId="4785B0A1">
      <w:pPr>
        <w:spacing w:line="360" w:lineRule="auto"/>
        <w:ind w:firstLine="480" w:firstLineChars="200"/>
        <w:rPr>
          <w:color w:val="auto"/>
        </w:rPr>
      </w:pPr>
      <w:r>
        <w:rPr>
          <w:rFonts w:hint="eastAsia"/>
          <w:color w:val="auto"/>
        </w:rPr>
        <w:t>3.如乙方接甲方通知后拒绝处理或乙方修复后仍不合格的，甲方有权委托第三方代为修复，由此发生的费用由乙方承担。</w:t>
      </w:r>
    </w:p>
    <w:p w14:paraId="6ED5F005">
      <w:pPr>
        <w:spacing w:line="360" w:lineRule="auto"/>
        <w:ind w:firstLine="480" w:firstLineChars="200"/>
        <w:rPr>
          <w:color w:val="auto"/>
        </w:rPr>
      </w:pPr>
      <w:r>
        <w:rPr>
          <w:rFonts w:hint="eastAsia"/>
          <w:color w:val="auto"/>
        </w:rPr>
        <w:t>4.质保期过后，如需更换配件，乙方按照成本价收取费用，上门维修的人工费、交通费等由乙方自行承担。</w:t>
      </w:r>
    </w:p>
    <w:p w14:paraId="2065E05C">
      <w:pPr>
        <w:spacing w:line="360" w:lineRule="auto"/>
        <w:ind w:left="525"/>
        <w:rPr>
          <w:b/>
          <w:bCs/>
          <w:color w:val="auto"/>
        </w:rPr>
      </w:pPr>
      <w:r>
        <w:rPr>
          <w:rFonts w:hint="eastAsia"/>
          <w:b/>
          <w:bCs/>
          <w:color w:val="auto"/>
        </w:rPr>
        <w:t>第七条 违约责任</w:t>
      </w:r>
    </w:p>
    <w:p w14:paraId="7F5CFCAA">
      <w:pPr>
        <w:spacing w:line="360" w:lineRule="auto"/>
        <w:ind w:firstLine="480" w:firstLineChars="200"/>
        <w:rPr>
          <w:color w:val="auto"/>
        </w:rPr>
      </w:pPr>
      <w:r>
        <w:rPr>
          <w:rFonts w:hint="eastAsia"/>
          <w:color w:val="auto"/>
        </w:rPr>
        <w:t>1.服务质量不符合合同约定，甲方有权要求乙方免费修理、更换、减少价款。经乙方修理或更换后仍不合格，致使合同目的不能实现，甲方有权解除合同，乙方应支付合同总价</w:t>
      </w:r>
      <w:r>
        <w:rPr>
          <w:rFonts w:hint="eastAsia"/>
          <w:color w:val="auto"/>
          <w:u w:val="single"/>
        </w:rPr>
        <w:t xml:space="preserve"> 20 </w:t>
      </w:r>
      <w:r>
        <w:rPr>
          <w:rFonts w:hint="eastAsia"/>
          <w:color w:val="auto"/>
        </w:rPr>
        <w:t>%的违约金。如因乙方的设计内容侵犯任何第三方知识产权、工业产权或货物存在质量缺陷，导致甲方遭受第三方诉讼、索赔的，乙方应承担全部赔偿责任，并向甲方支付合同总价</w:t>
      </w:r>
      <w:r>
        <w:rPr>
          <w:rFonts w:hint="eastAsia"/>
          <w:color w:val="auto"/>
          <w:u w:val="single"/>
        </w:rPr>
        <w:t xml:space="preserve">20 </w:t>
      </w:r>
      <w:r>
        <w:rPr>
          <w:rFonts w:hint="eastAsia"/>
          <w:color w:val="auto"/>
        </w:rPr>
        <w:t>%的违约金。若违约金不足以弥补甲方遭受的直接损失，还应赔偿甲方一切经济损失。</w:t>
      </w:r>
    </w:p>
    <w:p w14:paraId="2D55FE65">
      <w:pPr>
        <w:spacing w:line="360" w:lineRule="auto"/>
        <w:ind w:firstLine="480" w:firstLineChars="200"/>
        <w:rPr>
          <w:color w:val="auto"/>
        </w:rPr>
      </w:pPr>
      <w:r>
        <w:rPr>
          <w:rFonts w:hint="eastAsia"/>
          <w:color w:val="auto"/>
        </w:rPr>
        <w:t>2.乙方逾期完成服务的，每逾期一日，应向甲方支付逾期部分价款</w:t>
      </w:r>
      <w:r>
        <w:rPr>
          <w:rFonts w:hint="eastAsia"/>
          <w:color w:val="auto"/>
          <w:u w:val="single"/>
        </w:rPr>
        <w:t xml:space="preserve"> 0.05 %</w:t>
      </w:r>
      <w:r>
        <w:rPr>
          <w:rFonts w:hint="eastAsia"/>
          <w:color w:val="auto"/>
        </w:rPr>
        <w:t>违约金；逾期超过</w:t>
      </w:r>
      <w:r>
        <w:rPr>
          <w:rFonts w:hint="eastAsia"/>
          <w:color w:val="auto"/>
          <w:u w:val="single"/>
        </w:rPr>
        <w:t xml:space="preserve"> 30 </w:t>
      </w:r>
      <w:r>
        <w:rPr>
          <w:rFonts w:hint="eastAsia"/>
          <w:color w:val="auto"/>
        </w:rPr>
        <w:t>日，视为乙方不能完成，甲方有权单方解除合同，并要求乙方支付不能完成部分价款</w:t>
      </w:r>
      <w:r>
        <w:rPr>
          <w:rFonts w:hint="eastAsia"/>
          <w:color w:val="auto"/>
          <w:u w:val="single"/>
        </w:rPr>
        <w:t xml:space="preserve"> 20 </w:t>
      </w:r>
      <w:r>
        <w:rPr>
          <w:rFonts w:hint="eastAsia"/>
          <w:color w:val="auto"/>
        </w:rPr>
        <w:t>%的违约金。违约金不足以弥补甲方损失的，乙方还应赔偿甲方损失。</w:t>
      </w:r>
    </w:p>
    <w:p w14:paraId="570D2D40">
      <w:pPr>
        <w:spacing w:line="360" w:lineRule="auto"/>
        <w:ind w:firstLine="520"/>
        <w:rPr>
          <w:color w:val="auto"/>
        </w:rPr>
      </w:pPr>
      <w:r>
        <w:rPr>
          <w:rFonts w:hint="eastAsia"/>
          <w:color w:val="auto"/>
        </w:rPr>
        <w:t>3.乙方未能按照本合同第六条规定履行售后服务的，应按照合同总价</w:t>
      </w:r>
      <w:r>
        <w:rPr>
          <w:rFonts w:hint="eastAsia"/>
          <w:color w:val="auto"/>
          <w:u w:val="single"/>
        </w:rPr>
        <w:t xml:space="preserve"> </w:t>
      </w:r>
      <w:r>
        <w:rPr>
          <w:rFonts w:hint="eastAsia"/>
          <w:color w:val="auto"/>
        </w:rPr>
        <w:t>10</w:t>
      </w:r>
      <w:r>
        <w:rPr>
          <w:rFonts w:hint="eastAsia"/>
          <w:color w:val="auto"/>
          <w:u w:val="single"/>
        </w:rPr>
        <w:t xml:space="preserve"> </w:t>
      </w:r>
      <w:r>
        <w:rPr>
          <w:rFonts w:hint="eastAsia"/>
          <w:color w:val="auto"/>
        </w:rPr>
        <w:t>%/次向甲方支付违约金。</w:t>
      </w:r>
    </w:p>
    <w:p w14:paraId="2F8DD1CF">
      <w:pPr>
        <w:spacing w:line="360" w:lineRule="auto"/>
        <w:ind w:left="525"/>
        <w:rPr>
          <w:b/>
          <w:bCs/>
          <w:color w:val="auto"/>
        </w:rPr>
      </w:pPr>
      <w:r>
        <w:rPr>
          <w:rFonts w:hint="eastAsia"/>
          <w:b/>
          <w:bCs/>
          <w:color w:val="auto"/>
        </w:rPr>
        <w:t>第八条 合同变更或解除</w:t>
      </w:r>
    </w:p>
    <w:p w14:paraId="6EB6B8B4">
      <w:pPr>
        <w:spacing w:line="360" w:lineRule="auto"/>
        <w:ind w:firstLine="520"/>
        <w:rPr>
          <w:color w:val="auto"/>
        </w:rPr>
      </w:pPr>
      <w:r>
        <w:rPr>
          <w:rFonts w:hint="eastAsia"/>
          <w:color w:val="auto"/>
        </w:rPr>
        <w:t>1.本合同生效后，如双方协商一致，可以对合同内容进行变更，所有变更或补充需签署书面协议经过双方法定代表人或授权代表签字盖章，该协议与本合同具有同等法律效力。</w:t>
      </w:r>
    </w:p>
    <w:p w14:paraId="72D8CEAB">
      <w:pPr>
        <w:spacing w:line="360" w:lineRule="auto"/>
        <w:ind w:firstLine="520"/>
        <w:rPr>
          <w:color w:val="auto"/>
        </w:rPr>
      </w:pPr>
      <w:r>
        <w:rPr>
          <w:rFonts w:hint="eastAsia"/>
          <w:color w:val="auto"/>
        </w:rPr>
        <w:t>2.双方协议一致可以解除本合同，发生下列情形之一的，甲方有权解除本合同：（一）乙方逾期完成超过30天的；（二）乙方交付货物或服务存在质量问题，经更换后仍不合格的；（三）乙方明确表示将不履行合同主要义务。</w:t>
      </w:r>
    </w:p>
    <w:p w14:paraId="027D6AF0">
      <w:pPr>
        <w:spacing w:line="360" w:lineRule="auto"/>
        <w:ind w:firstLine="520"/>
        <w:rPr>
          <w:color w:val="auto"/>
        </w:rPr>
      </w:pPr>
      <w:r>
        <w:rPr>
          <w:rFonts w:hint="eastAsia"/>
          <w:color w:val="auto"/>
        </w:rPr>
        <w:t>3.甲方无正当理由逾期付款超过30日，经书面催告后15日内仍未支付的，乙方有权解除合同。</w:t>
      </w:r>
    </w:p>
    <w:p w14:paraId="207C338F">
      <w:pPr>
        <w:spacing w:line="360" w:lineRule="auto"/>
        <w:ind w:firstLine="520"/>
        <w:rPr>
          <w:color w:val="auto"/>
        </w:rPr>
      </w:pPr>
      <w:r>
        <w:rPr>
          <w:rFonts w:hint="eastAsia"/>
          <w:color w:val="auto"/>
        </w:rPr>
        <w:t>4.乙方在收到合同解除通知</w:t>
      </w:r>
      <w:r>
        <w:rPr>
          <w:rFonts w:hint="eastAsia"/>
          <w:color w:val="auto"/>
          <w:u w:val="single"/>
        </w:rPr>
        <w:t xml:space="preserve"> 5 </w:t>
      </w:r>
      <w:r>
        <w:rPr>
          <w:rFonts w:hint="eastAsia"/>
          <w:color w:val="auto"/>
        </w:rPr>
        <w:t>日内退还甲方支付的全部款项，合同解除不影响守约方追究违约方的责任。</w:t>
      </w:r>
    </w:p>
    <w:p w14:paraId="57D2BB88">
      <w:pPr>
        <w:spacing w:line="360" w:lineRule="auto"/>
        <w:ind w:firstLine="482" w:firstLineChars="200"/>
        <w:rPr>
          <w:b/>
          <w:bCs/>
          <w:color w:val="auto"/>
        </w:rPr>
      </w:pPr>
      <w:r>
        <w:rPr>
          <w:rFonts w:hint="eastAsia"/>
          <w:b/>
          <w:bCs/>
          <w:color w:val="auto"/>
        </w:rPr>
        <w:t>第九条 不可抗力</w:t>
      </w:r>
    </w:p>
    <w:p w14:paraId="4A71454B">
      <w:pPr>
        <w:spacing w:line="360" w:lineRule="auto"/>
        <w:rPr>
          <w:b/>
          <w:bCs/>
          <w:color w:val="auto"/>
          <w:sz w:val="28"/>
          <w:szCs w:val="28"/>
        </w:rPr>
      </w:pPr>
      <w:r>
        <w:rPr>
          <w:rFonts w:hint="eastAsia"/>
          <w:color w:val="auto"/>
          <w:sz w:val="28"/>
          <w:szCs w:val="28"/>
        </w:rPr>
        <w:t xml:space="preserve">    </w:t>
      </w:r>
      <w:r>
        <w:rPr>
          <w:rFonts w:hint="eastAsia"/>
          <w:color w:val="auto"/>
        </w:rPr>
        <w:t>在本合同签订后发生双方不能预见、不能避免、不能客服的客观情况，包括地震、台风、洪水、法律和政策的重大调整等，遭遇不可抗力的一方有义务在事件发生后</w:t>
      </w:r>
      <w:r>
        <w:rPr>
          <w:rFonts w:hint="eastAsia"/>
          <w:color w:val="auto"/>
          <w:u w:val="single"/>
        </w:rPr>
        <w:t xml:space="preserve">  15  </w:t>
      </w:r>
      <w:r>
        <w:rPr>
          <w:rFonts w:hint="eastAsia"/>
          <w:color w:val="auto"/>
        </w:rPr>
        <w:t>日内书面通知另一方，在</w:t>
      </w:r>
      <w:r>
        <w:rPr>
          <w:rFonts w:hint="eastAsia"/>
          <w:color w:val="auto"/>
          <w:u w:val="single"/>
        </w:rPr>
        <w:t xml:space="preserve">  30  </w:t>
      </w:r>
      <w:r>
        <w:rPr>
          <w:rFonts w:hint="eastAsia"/>
          <w:color w:val="auto"/>
        </w:rPr>
        <w:t>日内提供事故发生地政府或第三方机构出具的证明文件，同时采取一切合理措施避免损失的进一步扩大，如不可抗力持续</w:t>
      </w:r>
      <w:r>
        <w:rPr>
          <w:rFonts w:hint="eastAsia"/>
          <w:color w:val="auto"/>
          <w:u w:val="single"/>
        </w:rPr>
        <w:t xml:space="preserve"> 60 </w:t>
      </w:r>
      <w:r>
        <w:rPr>
          <w:rFonts w:hint="eastAsia"/>
          <w:color w:val="auto"/>
        </w:rPr>
        <w:t>日，双方可以协商变更或解除合同。</w:t>
      </w:r>
    </w:p>
    <w:p w14:paraId="767C35DE">
      <w:pPr>
        <w:widowControl w:val="0"/>
        <w:numPr>
          <w:ilvl w:val="0"/>
          <w:numId w:val="1"/>
        </w:numPr>
        <w:spacing w:line="360" w:lineRule="auto"/>
        <w:ind w:firstLine="482" w:firstLineChars="200"/>
        <w:jc w:val="both"/>
        <w:rPr>
          <w:b/>
          <w:bCs/>
          <w:color w:val="auto"/>
        </w:rPr>
      </w:pPr>
      <w:r>
        <w:rPr>
          <w:rFonts w:hint="eastAsia"/>
          <w:b/>
          <w:bCs/>
          <w:color w:val="auto"/>
        </w:rPr>
        <w:t xml:space="preserve">争议解决 </w:t>
      </w:r>
    </w:p>
    <w:p w14:paraId="162B8DDF">
      <w:pPr>
        <w:spacing w:line="360" w:lineRule="auto"/>
        <w:ind w:firstLine="480" w:firstLineChars="200"/>
        <w:rPr>
          <w:color w:val="auto"/>
        </w:rPr>
      </w:pPr>
      <w:r>
        <w:rPr>
          <w:rFonts w:hint="eastAsia"/>
          <w:color w:val="auto"/>
        </w:rPr>
        <w:t>凡因履行本合同引起的或与本合同有关的争议，双方应友好协商解决，协商不成的，由甲方所在地人民法院依法管辖，通过诉讼解决，违约方承担守约方诉讼费、律师费、保全费、保全担保费、鉴定费、执行费等实现债权的全部费用。</w:t>
      </w:r>
    </w:p>
    <w:p w14:paraId="1FEE602E">
      <w:pPr>
        <w:spacing w:line="360" w:lineRule="auto"/>
        <w:ind w:firstLine="482" w:firstLineChars="200"/>
        <w:rPr>
          <w:b/>
          <w:bCs/>
          <w:color w:val="auto"/>
        </w:rPr>
      </w:pPr>
      <w:r>
        <w:rPr>
          <w:rFonts w:hint="eastAsia"/>
          <w:b/>
          <w:bCs/>
          <w:color w:val="auto"/>
        </w:rPr>
        <w:t>第十一条 通知</w:t>
      </w:r>
    </w:p>
    <w:p w14:paraId="16EC9915">
      <w:pPr>
        <w:spacing w:line="360" w:lineRule="auto"/>
        <w:ind w:firstLine="480" w:firstLineChars="200"/>
        <w:rPr>
          <w:color w:val="auto"/>
        </w:rPr>
      </w:pPr>
      <w:r>
        <w:rPr>
          <w:rFonts w:hint="eastAsia"/>
          <w:color w:val="auto"/>
        </w:rPr>
        <w:t>1．除本合同另有约定外，本合同下的所有通知、请求、要求和其他信息传递均应以书面形式进行，发送至本合同载明的地址、传真或电子邮箱，合同双方分别对本合同载明的各自地址、联系方式的真实性负责，并确认其有效性。</w:t>
      </w:r>
    </w:p>
    <w:p w14:paraId="0DB98257">
      <w:pPr>
        <w:spacing w:line="360" w:lineRule="auto"/>
        <w:ind w:firstLine="480" w:firstLineChars="200"/>
        <w:rPr>
          <w:color w:val="auto"/>
        </w:rPr>
      </w:pPr>
      <w:r>
        <w:rPr>
          <w:rFonts w:hint="eastAsia"/>
          <w:color w:val="auto"/>
        </w:rPr>
        <w:t>2．本合同双方一致同意：任何书面材料由专人递送的，收件方签收视为送达（收件方拒收的，于拒收日视为送达）；采用邮寄或快递方式的，自收件方签收之日视为送达，因一方地址、联系方式不准确或变更后未及时通知其他相对方而导致文件被拒收的，于拒收日视为送达；采用传真或电子邮件方式的，发件方成功发送之日视为送达，无论收件人是否实际接收；在公开媒体发布公告的，公告之日视为送达。</w:t>
      </w:r>
    </w:p>
    <w:p w14:paraId="20C9F091">
      <w:pPr>
        <w:spacing w:line="360" w:lineRule="auto"/>
        <w:ind w:firstLine="480" w:firstLineChars="200"/>
        <w:rPr>
          <w:color w:val="auto"/>
        </w:rPr>
      </w:pPr>
      <w:r>
        <w:rPr>
          <w:rFonts w:hint="eastAsia"/>
          <w:color w:val="auto"/>
        </w:rPr>
        <w:t>3．本合同任何一方如欲变更通讯地址、联系方式，均应及时通知本合同其他相对方。在其他合同相对方依照本条约定收到该方联系方式变更通知之前，该方的原联系方式仍应被视为该方的有效联系方式。</w:t>
      </w:r>
    </w:p>
    <w:p w14:paraId="7E1E9D8C">
      <w:pPr>
        <w:spacing w:line="360" w:lineRule="auto"/>
        <w:ind w:firstLine="480" w:firstLineChars="200"/>
        <w:rPr>
          <w:color w:val="auto"/>
        </w:rPr>
      </w:pPr>
      <w:r>
        <w:rPr>
          <w:rFonts w:hint="eastAsia"/>
          <w:color w:val="auto"/>
        </w:rPr>
        <w:t>4．本合同确定的通讯地址、联系方式及其变更程序，适用于本合同缔结后的全部流程，包括因本合同发生争议而进入仲裁或诉讼的司法程序（包括一审、二审、重审、执行等阶段），合同各方（含受理争议的人民法院及仲裁机构）均有权按照本合同确定的通讯地址、联系方式进行司法文书的传递与送达。</w:t>
      </w:r>
    </w:p>
    <w:p w14:paraId="778F10DF">
      <w:pPr>
        <w:spacing w:line="360" w:lineRule="auto"/>
        <w:ind w:firstLine="482" w:firstLineChars="200"/>
        <w:rPr>
          <w:b/>
          <w:bCs/>
          <w:color w:val="auto"/>
        </w:rPr>
      </w:pPr>
      <w:r>
        <w:rPr>
          <w:rFonts w:hint="eastAsia"/>
          <w:b/>
          <w:bCs/>
          <w:color w:val="auto"/>
        </w:rPr>
        <w:t>第十二条 合同生效</w:t>
      </w:r>
    </w:p>
    <w:p w14:paraId="46873585">
      <w:pPr>
        <w:spacing w:line="360" w:lineRule="auto"/>
        <w:ind w:firstLine="480" w:firstLineChars="200"/>
        <w:rPr>
          <w:color w:val="auto"/>
        </w:rPr>
      </w:pPr>
      <w:r>
        <w:rPr>
          <w:rFonts w:hint="eastAsia"/>
          <w:color w:val="auto"/>
        </w:rPr>
        <w:t>1.本合同自双方签字盖章之日起生效，合同附件、补充协议与本合同具有同等法律效力。</w:t>
      </w:r>
    </w:p>
    <w:p w14:paraId="4C1D088E">
      <w:pPr>
        <w:spacing w:line="360" w:lineRule="auto"/>
        <w:ind w:firstLine="480" w:firstLineChars="200"/>
        <w:rPr>
          <w:color w:val="auto"/>
        </w:rPr>
      </w:pPr>
      <w:r>
        <w:rPr>
          <w:rFonts w:hint="eastAsia"/>
          <w:color w:val="auto"/>
        </w:rPr>
        <w:t>2.本合同一式</w:t>
      </w:r>
      <w:r>
        <w:rPr>
          <w:rFonts w:hint="eastAsia"/>
          <w:color w:val="auto"/>
          <w:u w:val="single"/>
        </w:rPr>
        <w:t xml:space="preserve"> </w:t>
      </w:r>
      <w:r>
        <w:rPr>
          <w:color w:val="auto"/>
          <w:u w:val="single"/>
        </w:rPr>
        <w:t>4</w:t>
      </w:r>
      <w:r>
        <w:rPr>
          <w:rFonts w:hint="eastAsia"/>
          <w:color w:val="auto"/>
          <w:u w:val="single"/>
        </w:rPr>
        <w:t xml:space="preserve"> </w:t>
      </w:r>
      <w:r>
        <w:rPr>
          <w:rFonts w:hint="eastAsia"/>
          <w:color w:val="auto"/>
        </w:rPr>
        <w:t>份，甲方执</w:t>
      </w:r>
      <w:r>
        <w:rPr>
          <w:rFonts w:hint="eastAsia"/>
          <w:color w:val="auto"/>
          <w:u w:val="single"/>
        </w:rPr>
        <w:t xml:space="preserve"> </w:t>
      </w:r>
      <w:r>
        <w:rPr>
          <w:color w:val="auto"/>
          <w:u w:val="single"/>
        </w:rPr>
        <w:t>3</w:t>
      </w:r>
      <w:r>
        <w:rPr>
          <w:rFonts w:hint="eastAsia"/>
          <w:color w:val="auto"/>
          <w:u w:val="single"/>
        </w:rPr>
        <w:t xml:space="preserve"> </w:t>
      </w:r>
      <w:r>
        <w:rPr>
          <w:rFonts w:hint="eastAsia"/>
          <w:color w:val="auto"/>
        </w:rPr>
        <w:t>份，乙方执</w:t>
      </w:r>
      <w:r>
        <w:rPr>
          <w:rFonts w:hint="eastAsia"/>
          <w:color w:val="auto"/>
          <w:u w:val="single"/>
        </w:rPr>
        <w:t xml:space="preserve"> </w:t>
      </w:r>
      <w:r>
        <w:rPr>
          <w:color w:val="auto"/>
          <w:u w:val="single"/>
        </w:rPr>
        <w:t>1</w:t>
      </w:r>
      <w:r>
        <w:rPr>
          <w:rFonts w:hint="eastAsia"/>
          <w:color w:val="auto"/>
          <w:u w:val="single"/>
        </w:rPr>
        <w:t xml:space="preserve"> </w:t>
      </w:r>
      <w:r>
        <w:rPr>
          <w:rFonts w:hint="eastAsia"/>
          <w:color w:val="auto"/>
        </w:rPr>
        <w:t>份，具有同等法律效力。</w:t>
      </w:r>
    </w:p>
    <w:p w14:paraId="10DE163E">
      <w:pPr>
        <w:spacing w:line="360" w:lineRule="auto"/>
        <w:ind w:firstLine="480" w:firstLineChars="200"/>
        <w:rPr>
          <w:color w:val="auto"/>
        </w:rPr>
      </w:pPr>
      <w:r>
        <w:rPr>
          <w:rFonts w:hint="eastAsia"/>
          <w:color w:val="auto"/>
        </w:rPr>
        <w:t>3.其他：乙方首次交易前应向甲方提供加盖公章的营业执照和签约代表的法定代表人授权委托书等资料作为备存。</w:t>
      </w:r>
    </w:p>
    <w:p w14:paraId="3307F628">
      <w:pPr>
        <w:spacing w:line="360" w:lineRule="auto"/>
        <w:ind w:firstLine="480" w:firstLineChars="200"/>
        <w:rPr>
          <w:color w:val="auto"/>
        </w:rPr>
      </w:pPr>
      <w:r>
        <w:rPr>
          <w:rFonts w:hint="eastAsia"/>
          <w:color w:val="auto"/>
        </w:rPr>
        <w:t>（以下无正文，为签署页）</w:t>
      </w:r>
    </w:p>
    <w:p w14:paraId="537B27C2">
      <w:pPr>
        <w:spacing w:line="360" w:lineRule="auto"/>
        <w:ind w:firstLine="480" w:firstLineChars="200"/>
        <w:rPr>
          <w:color w:val="auto"/>
        </w:rPr>
      </w:pPr>
    </w:p>
    <w:p w14:paraId="36B12567">
      <w:pPr>
        <w:spacing w:line="360" w:lineRule="auto"/>
        <w:ind w:firstLine="480" w:firstLineChars="200"/>
        <w:rPr>
          <w:color w:val="auto"/>
        </w:rPr>
      </w:pPr>
      <w:r>
        <w:rPr>
          <w:rFonts w:hint="eastAsia"/>
          <w:color w:val="auto"/>
        </w:rPr>
        <w:t xml:space="preserve">甲方：                           乙方： </w:t>
      </w:r>
    </w:p>
    <w:p w14:paraId="44F4B7C9">
      <w:pPr>
        <w:spacing w:line="360" w:lineRule="auto"/>
        <w:ind w:firstLine="480" w:firstLineChars="200"/>
        <w:rPr>
          <w:color w:val="auto"/>
        </w:rPr>
      </w:pPr>
      <w:r>
        <w:rPr>
          <w:rFonts w:hint="eastAsia"/>
          <w:color w:val="auto"/>
        </w:rPr>
        <w:t xml:space="preserve">法定代表人/授权代表：     </w:t>
      </w:r>
      <w:r>
        <w:rPr>
          <w:color w:val="auto"/>
        </w:rPr>
        <w:t xml:space="preserve"> </w:t>
      </w:r>
      <w:r>
        <w:rPr>
          <w:rFonts w:hint="eastAsia"/>
          <w:color w:val="auto"/>
        </w:rPr>
        <w:t xml:space="preserve">      法定代表人/授权代表人： </w:t>
      </w:r>
    </w:p>
    <w:p w14:paraId="7B3B6BEA">
      <w:pPr>
        <w:spacing w:line="360" w:lineRule="auto"/>
        <w:ind w:firstLine="480" w:firstLineChars="200"/>
        <w:rPr>
          <w:color w:val="auto"/>
        </w:rPr>
      </w:pPr>
      <w:r>
        <w:rPr>
          <w:rFonts w:hint="eastAsia"/>
          <w:color w:val="auto"/>
        </w:rPr>
        <w:t>联系人：                         联系人：</w:t>
      </w:r>
    </w:p>
    <w:p w14:paraId="31A7DE4E">
      <w:pPr>
        <w:spacing w:line="360" w:lineRule="auto"/>
        <w:ind w:firstLine="480" w:firstLineChars="200"/>
        <w:rPr>
          <w:color w:val="auto"/>
        </w:rPr>
      </w:pPr>
      <w:r>
        <w:rPr>
          <w:rFonts w:hint="eastAsia"/>
          <w:color w:val="auto"/>
        </w:rPr>
        <w:t>地址：                           地址：</w:t>
      </w:r>
    </w:p>
    <w:p w14:paraId="10081833">
      <w:pPr>
        <w:spacing w:line="360" w:lineRule="auto"/>
        <w:ind w:firstLine="480" w:firstLineChars="200"/>
        <w:rPr>
          <w:color w:val="auto"/>
        </w:rPr>
      </w:pPr>
      <w:r>
        <w:rPr>
          <w:rFonts w:hint="eastAsia"/>
          <w:color w:val="auto"/>
        </w:rPr>
        <w:t>电话：                           电话：</w:t>
      </w:r>
    </w:p>
    <w:p w14:paraId="21952968">
      <w:pPr>
        <w:spacing w:line="360" w:lineRule="auto"/>
        <w:ind w:firstLine="480" w:firstLineChars="200"/>
        <w:rPr>
          <w:color w:val="auto"/>
        </w:rPr>
      </w:pPr>
      <w:r>
        <w:rPr>
          <w:rFonts w:hint="eastAsia"/>
          <w:color w:val="auto"/>
        </w:rPr>
        <w:t xml:space="preserve">日期：                           日期：            </w:t>
      </w:r>
    </w:p>
    <w:p w14:paraId="05495256">
      <w:pPr>
        <w:spacing w:line="360" w:lineRule="auto"/>
        <w:ind w:firstLine="480" w:firstLineChars="200"/>
        <w:jc w:val="both"/>
        <w:rPr>
          <w:rFonts w:ascii="黑体" w:hAnsi="黑体" w:eastAsia="黑体"/>
          <w:color w:val="auto"/>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B0604020202020204"/>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3EAAA"/>
    <w:multiLevelType w:val="singleLevel"/>
    <w:tmpl w:val="9983EAAA"/>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2D"/>
    <w:rsid w:val="00094EAA"/>
    <w:rsid w:val="0009500A"/>
    <w:rsid w:val="000B2DE0"/>
    <w:rsid w:val="000C4AD0"/>
    <w:rsid w:val="000D18E8"/>
    <w:rsid w:val="000D33DA"/>
    <w:rsid w:val="000E4D46"/>
    <w:rsid w:val="00125BD9"/>
    <w:rsid w:val="00186FB1"/>
    <w:rsid w:val="001A573B"/>
    <w:rsid w:val="002A7C2D"/>
    <w:rsid w:val="00333F35"/>
    <w:rsid w:val="00351EFC"/>
    <w:rsid w:val="00377B12"/>
    <w:rsid w:val="00380EF8"/>
    <w:rsid w:val="00384612"/>
    <w:rsid w:val="003935DC"/>
    <w:rsid w:val="00394311"/>
    <w:rsid w:val="00440D52"/>
    <w:rsid w:val="0044460D"/>
    <w:rsid w:val="0050154A"/>
    <w:rsid w:val="00512F81"/>
    <w:rsid w:val="00525B82"/>
    <w:rsid w:val="006047F5"/>
    <w:rsid w:val="006171C9"/>
    <w:rsid w:val="006249D2"/>
    <w:rsid w:val="0063134E"/>
    <w:rsid w:val="0066578D"/>
    <w:rsid w:val="006B084D"/>
    <w:rsid w:val="007441FE"/>
    <w:rsid w:val="007A5E32"/>
    <w:rsid w:val="007D3CBA"/>
    <w:rsid w:val="007E0DEE"/>
    <w:rsid w:val="007F53AA"/>
    <w:rsid w:val="008017DA"/>
    <w:rsid w:val="008E3819"/>
    <w:rsid w:val="00940EEC"/>
    <w:rsid w:val="00957666"/>
    <w:rsid w:val="00AE4EA0"/>
    <w:rsid w:val="00B022F4"/>
    <w:rsid w:val="00CF2E2D"/>
    <w:rsid w:val="00D6061F"/>
    <w:rsid w:val="00E66D00"/>
    <w:rsid w:val="00F76614"/>
    <w:rsid w:val="00F818FE"/>
    <w:rsid w:val="00FA706C"/>
    <w:rsid w:val="00FC65E7"/>
    <w:rsid w:val="09E62146"/>
    <w:rsid w:val="14D01697"/>
    <w:rsid w:val="155E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7"/>
    <w:qFormat/>
    <w:uiPriority w:val="1"/>
    <w:pPr>
      <w:keepNext/>
      <w:keepLines/>
      <w:widowControl w:val="0"/>
      <w:spacing w:before="480" w:after="80"/>
      <w:jc w:val="both"/>
      <w:outlineLvl w:val="0"/>
    </w:pPr>
    <w:rPr>
      <w:rFonts w:asciiTheme="majorHAnsi" w:hAnsiTheme="majorHAnsi" w:eastAsiaTheme="majorEastAsia" w:cstheme="majorBidi"/>
      <w:color w:val="104862" w:themeColor="accent1" w:themeShade="BF"/>
      <w:kern w:val="2"/>
      <w:sz w:val="48"/>
      <w:szCs w:val="48"/>
    </w:rPr>
  </w:style>
  <w:style w:type="paragraph" w:styleId="3">
    <w:name w:val="heading 2"/>
    <w:basedOn w:val="1"/>
    <w:next w:val="1"/>
    <w:link w:val="18"/>
    <w:unhideWhenUsed/>
    <w:qFormat/>
    <w:uiPriority w:val="9"/>
    <w:pPr>
      <w:keepNext/>
      <w:keepLines/>
      <w:widowControl w:val="0"/>
      <w:spacing w:before="160" w:after="80"/>
      <w:jc w:val="both"/>
      <w:outlineLvl w:val="1"/>
    </w:pPr>
    <w:rPr>
      <w:rFonts w:asciiTheme="majorHAnsi" w:hAnsiTheme="majorHAnsi" w:eastAsiaTheme="majorEastAsia" w:cstheme="majorBidi"/>
      <w:color w:val="104862" w:themeColor="accent1" w:themeShade="BF"/>
      <w:kern w:val="2"/>
      <w:sz w:val="40"/>
      <w:szCs w:val="40"/>
    </w:rPr>
  </w:style>
  <w:style w:type="paragraph" w:styleId="4">
    <w:name w:val="heading 3"/>
    <w:basedOn w:val="1"/>
    <w:next w:val="1"/>
    <w:link w:val="19"/>
    <w:semiHidden/>
    <w:unhideWhenUsed/>
    <w:qFormat/>
    <w:uiPriority w:val="9"/>
    <w:pPr>
      <w:keepNext/>
      <w:keepLines/>
      <w:widowControl w:val="0"/>
      <w:spacing w:before="160" w:after="80"/>
      <w:jc w:val="both"/>
      <w:outlineLvl w:val="2"/>
    </w:pPr>
    <w:rPr>
      <w:rFonts w:asciiTheme="majorHAnsi" w:hAnsiTheme="majorHAnsi" w:eastAsiaTheme="majorEastAsia" w:cstheme="majorBidi"/>
      <w:color w:val="104862" w:themeColor="accent1" w:themeShade="BF"/>
      <w:kern w:val="2"/>
      <w:sz w:val="32"/>
      <w:szCs w:val="32"/>
    </w:rPr>
  </w:style>
  <w:style w:type="paragraph" w:styleId="5">
    <w:name w:val="heading 4"/>
    <w:basedOn w:val="1"/>
    <w:next w:val="1"/>
    <w:link w:val="20"/>
    <w:semiHidden/>
    <w:unhideWhenUsed/>
    <w:qFormat/>
    <w:uiPriority w:val="9"/>
    <w:pPr>
      <w:keepNext/>
      <w:keepLines/>
      <w:widowControl w:val="0"/>
      <w:spacing w:before="80" w:after="40"/>
      <w:jc w:val="both"/>
      <w:outlineLvl w:val="3"/>
    </w:pPr>
    <w:rPr>
      <w:rFonts w:asciiTheme="minorHAnsi" w:hAnsiTheme="minorHAnsi" w:eastAsiaTheme="minorEastAsia" w:cstheme="majorBidi"/>
      <w:color w:val="104862" w:themeColor="accent1" w:themeShade="BF"/>
      <w:kern w:val="2"/>
      <w:sz w:val="28"/>
      <w:szCs w:val="28"/>
    </w:rPr>
  </w:style>
  <w:style w:type="paragraph" w:styleId="6">
    <w:name w:val="heading 5"/>
    <w:basedOn w:val="1"/>
    <w:next w:val="1"/>
    <w:link w:val="21"/>
    <w:semiHidden/>
    <w:unhideWhenUsed/>
    <w:qFormat/>
    <w:uiPriority w:val="9"/>
    <w:pPr>
      <w:keepNext/>
      <w:keepLines/>
      <w:widowControl w:val="0"/>
      <w:spacing w:before="80" w:after="40"/>
      <w:jc w:val="both"/>
      <w:outlineLvl w:val="4"/>
    </w:pPr>
    <w:rPr>
      <w:rFonts w:asciiTheme="minorHAnsi" w:hAnsiTheme="minorHAnsi" w:eastAsiaTheme="minorEastAsia" w:cstheme="majorBidi"/>
      <w:color w:val="104862" w:themeColor="accent1" w:themeShade="BF"/>
      <w:kern w:val="2"/>
    </w:rPr>
  </w:style>
  <w:style w:type="paragraph" w:styleId="7">
    <w:name w:val="heading 6"/>
    <w:basedOn w:val="1"/>
    <w:next w:val="1"/>
    <w:link w:val="22"/>
    <w:semiHidden/>
    <w:unhideWhenUsed/>
    <w:qFormat/>
    <w:uiPriority w:val="9"/>
    <w:pPr>
      <w:keepNext/>
      <w:keepLines/>
      <w:widowControl w:val="0"/>
      <w:spacing w:before="40"/>
      <w:jc w:val="both"/>
      <w:outlineLvl w:val="5"/>
    </w:pPr>
    <w:rPr>
      <w:rFonts w:asciiTheme="minorHAnsi" w:hAnsiTheme="minorHAnsi" w:eastAsiaTheme="minorEastAsia" w:cstheme="majorBidi"/>
      <w:b/>
      <w:bCs/>
      <w:color w:val="104862" w:themeColor="accent1" w:themeShade="BF"/>
      <w:kern w:val="2"/>
      <w:sz w:val="21"/>
    </w:rPr>
  </w:style>
  <w:style w:type="paragraph" w:styleId="8">
    <w:name w:val="heading 7"/>
    <w:basedOn w:val="1"/>
    <w:next w:val="1"/>
    <w:link w:val="23"/>
    <w:semiHidden/>
    <w:unhideWhenUsed/>
    <w:qFormat/>
    <w:uiPriority w:val="9"/>
    <w:pPr>
      <w:keepNext/>
      <w:keepLines/>
      <w:widowControl w:val="0"/>
      <w:spacing w:before="40"/>
      <w:jc w:val="both"/>
      <w:outlineLvl w:val="6"/>
    </w:pPr>
    <w:rPr>
      <w:rFonts w:asciiTheme="minorHAnsi" w:hAnsiTheme="minorHAnsi" w:eastAsiaTheme="minorEastAsia" w:cstheme="majorBidi"/>
      <w:b/>
      <w:bCs/>
      <w:color w:val="595959" w:themeColor="text1" w:themeTint="A6"/>
      <w:kern w:val="2"/>
      <w:sz w:val="21"/>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widowControl w:val="0"/>
      <w:jc w:val="both"/>
      <w:outlineLvl w:val="7"/>
    </w:pPr>
    <w:rPr>
      <w:rFonts w:asciiTheme="minorHAnsi" w:hAnsiTheme="minorHAnsi" w:eastAsiaTheme="minorEastAsia" w:cstheme="majorBidi"/>
      <w:color w:val="595959" w:themeColor="text1" w:themeTint="A6"/>
      <w:kern w:val="2"/>
      <w:sz w:val="21"/>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widowControl w:val="0"/>
      <w:jc w:val="both"/>
      <w:outlineLvl w:val="8"/>
    </w:pPr>
    <w:rPr>
      <w:rFonts w:asciiTheme="minorHAnsi" w:hAnsiTheme="minorHAnsi" w:eastAsiaTheme="majorEastAsia" w:cstheme="majorBidi"/>
      <w:color w:val="595959" w:themeColor="text1" w:themeTint="A6"/>
      <w:kern w:val="2"/>
      <w:sz w:val="21"/>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2">
    <w:name w:val="Normal (Web)"/>
    <w:basedOn w:val="1"/>
    <w:qFormat/>
    <w:uiPriority w:val="0"/>
    <w:pPr>
      <w:spacing w:before="100" w:beforeAutospacing="1" w:after="100" w:afterAutospacing="1"/>
    </w:pPr>
    <w:rPr>
      <w:rFonts w:cs="Times New Roman"/>
      <w:color w:val="000000"/>
    </w:rPr>
  </w:style>
  <w:style w:type="paragraph" w:styleId="13">
    <w:name w:val="Title"/>
    <w:basedOn w:val="1"/>
    <w:next w:val="1"/>
    <w:link w:val="26"/>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7">
    <w:name w:val="标题 1 字符"/>
    <w:basedOn w:val="15"/>
    <w:link w:val="2"/>
    <w:qFormat/>
    <w:uiPriority w:val="1"/>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widowControl w:val="0"/>
      <w:ind w:left="720"/>
      <w:contextualSpacing/>
      <w:jc w:val="both"/>
    </w:pPr>
    <w:rPr>
      <w:rFonts w:asciiTheme="minorHAnsi" w:hAnsiTheme="minorHAnsi" w:eastAsiaTheme="minorEastAsia" w:cstheme="minorBidi"/>
      <w:kern w:val="2"/>
      <w:sz w:val="21"/>
    </w:r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widowControl w:val="0"/>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kern w:val="2"/>
      <w:sz w:val="21"/>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wyg"/>
    <w:basedOn w:val="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5861</Words>
  <Characters>5976</Characters>
  <Lines>46</Lines>
  <Paragraphs>13</Paragraphs>
  <TotalTime>23</TotalTime>
  <ScaleCrop>false</ScaleCrop>
  <LinksUpToDate>false</LinksUpToDate>
  <CharactersWithSpaces>6370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2026-05-11T03:15:00Z</dcterms:created>
  <dc:creator>Microsoft Office User</dc:creator>
  <cp:lastModifiedBy>huawei</cp:lastModifiedBy>
  <cp:lastPrinted>2026-05-11T03:15:00Z</cp:lastPrinted>
  <dcterms:modified xsi:type="dcterms:W3CDTF">2026-05-29T07:06:48Z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eyJoZGlkIjoiMzEwNTM5NzYwMDRjMzkwZTVkZjY2ODkwMGIxNGU0OTUiLCJ1c2VySWQiOiI0NDk3NjU4NjQifQ==</vt:lpwstr>
  </property>
  <property fmtid="{D5CDD505-2E9C-101B-9397-08002B2CF9AE}" pid="3" name="KSOProductBuildVer">
    <vt:lpwstr>2052-12.1.0.26375</vt:lpwstr>
  </property>
  <property fmtid="{D5CDD505-2E9C-101B-9397-08002B2CF9AE}" pid="4" name="ICV">
    <vt:lpwstr>50326056F7464149A8A1EB7305BB4AD4_12</vt:lpwstr>
  </property>
</Properties>
</file>