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A409">
      <w:pPr>
        <w:pageBreakBefore w:val="0"/>
        <w:kinsoku/>
        <w:overflowPunct/>
        <w:topLinePunct w:val="0"/>
        <w:bidi w:val="0"/>
        <w:spacing w:line="360" w:lineRule="auto"/>
        <w:ind w:right="0" w:rightChars="0"/>
        <w:jc w:val="center"/>
        <w:textAlignment w:val="auto"/>
        <w:outlineLvl w:val="2"/>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技术</w:t>
      </w:r>
      <w:r>
        <w:rPr>
          <w:rFonts w:hint="eastAsia" w:asciiTheme="minorEastAsia" w:hAnsiTheme="minorEastAsia" w:eastAsiaTheme="minorEastAsia" w:cstheme="minorEastAsia"/>
          <w:b/>
          <w:color w:val="auto"/>
          <w:sz w:val="44"/>
          <w:szCs w:val="44"/>
          <w:highlight w:val="none"/>
          <w:lang w:val="en-US" w:eastAsia="zh-CN"/>
        </w:rPr>
        <w:t>参数</w:t>
      </w:r>
      <w:r>
        <w:rPr>
          <w:rFonts w:hint="eastAsia" w:asciiTheme="minorEastAsia" w:hAnsiTheme="minorEastAsia" w:eastAsiaTheme="minorEastAsia" w:cstheme="minorEastAsia"/>
          <w:b/>
          <w:color w:val="auto"/>
          <w:sz w:val="44"/>
          <w:szCs w:val="44"/>
          <w:highlight w:val="none"/>
        </w:rPr>
        <w:t>响应表</w:t>
      </w:r>
    </w:p>
    <w:p w14:paraId="4CDDA9C1">
      <w:pPr>
        <w:pageBreakBefore w:val="0"/>
        <w:kinsoku/>
        <w:overflowPunct/>
        <w:topLinePunct w:val="0"/>
        <w:bidi w:val="0"/>
        <w:spacing w:line="360" w:lineRule="auto"/>
        <w:ind w:right="0" w:rightChars="0"/>
        <w:jc w:val="left"/>
        <w:textAlignment w:val="auto"/>
        <w:outlineLvl w:val="2"/>
        <w:rPr>
          <w:rFonts w:hint="eastAsia" w:asciiTheme="minorEastAsia" w:hAnsiTheme="minorEastAsia" w:eastAsiaTheme="minorEastAsia" w:cstheme="minorEastAsia"/>
          <w:b/>
          <w:color w:val="auto"/>
          <w:sz w:val="24"/>
          <w:highlight w:val="none"/>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60"/>
        <w:gridCol w:w="2864"/>
        <w:gridCol w:w="2482"/>
        <w:gridCol w:w="857"/>
      </w:tblGrid>
      <w:tr w14:paraId="5801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vAlign w:val="center"/>
          </w:tcPr>
          <w:p w14:paraId="656A35C1">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15" w:type="pct"/>
            <w:vAlign w:val="center"/>
          </w:tcPr>
          <w:p w14:paraId="37ABBDD5">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货物名称</w:t>
            </w:r>
          </w:p>
        </w:tc>
        <w:tc>
          <w:tcPr>
            <w:tcW w:w="1680" w:type="pct"/>
            <w:vAlign w:val="center"/>
          </w:tcPr>
          <w:p w14:paraId="3F3AF1FB">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招标文件规定的技术参数及要求</w:t>
            </w:r>
          </w:p>
        </w:tc>
        <w:tc>
          <w:tcPr>
            <w:tcW w:w="1456" w:type="pct"/>
            <w:vAlign w:val="center"/>
          </w:tcPr>
          <w:p w14:paraId="1E8A16C8">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所投产品的品牌、型号及技术参数</w:t>
            </w:r>
          </w:p>
        </w:tc>
        <w:tc>
          <w:tcPr>
            <w:tcW w:w="502" w:type="pct"/>
            <w:vAlign w:val="center"/>
          </w:tcPr>
          <w:p w14:paraId="2E0F4AEF">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偏离说明</w:t>
            </w:r>
          </w:p>
        </w:tc>
      </w:tr>
      <w:tr w14:paraId="0AB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46153D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15" w:type="pct"/>
            <w:vAlign w:val="center"/>
          </w:tcPr>
          <w:p w14:paraId="0835840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b/>
                <w:bCs/>
                <w:sz w:val="28"/>
                <w:szCs w:val="28"/>
              </w:rPr>
              <w:t>手</w:t>
            </w:r>
            <w:r>
              <w:rPr>
                <w:rFonts w:hint="eastAsia"/>
                <w:b/>
                <w:bCs/>
                <w:sz w:val="28"/>
                <w:szCs w:val="28"/>
                <w:lang w:eastAsia="zh-CN"/>
              </w:rPr>
              <w:t>摇病</w:t>
            </w:r>
            <w:r>
              <w:rPr>
                <w:rFonts w:hint="eastAsia"/>
                <w:b/>
                <w:bCs/>
                <w:sz w:val="28"/>
                <w:szCs w:val="28"/>
              </w:rPr>
              <w:t>床产品配置</w:t>
            </w:r>
          </w:p>
        </w:tc>
        <w:tc>
          <w:tcPr>
            <w:tcW w:w="1680" w:type="pct"/>
            <w:vAlign w:val="center"/>
          </w:tcPr>
          <w:p w14:paraId="25C3266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静音轮，铝合金护栏，8公分床垫</w:t>
            </w:r>
            <w:r>
              <w:rPr>
                <w:rFonts w:hint="eastAsia"/>
                <w:sz w:val="28"/>
                <w:szCs w:val="28"/>
                <w:lang w:eastAsia="zh-CN"/>
              </w:rPr>
              <w:t>，</w:t>
            </w:r>
            <w:r>
              <w:rPr>
                <w:rFonts w:hint="eastAsia"/>
                <w:sz w:val="28"/>
                <w:szCs w:val="28"/>
                <w:lang w:val="en-US" w:eastAsia="zh-CN"/>
              </w:rPr>
              <w:t>附带餐桌板</w:t>
            </w:r>
          </w:p>
        </w:tc>
        <w:tc>
          <w:tcPr>
            <w:tcW w:w="1456" w:type="pct"/>
            <w:vAlign w:val="center"/>
          </w:tcPr>
          <w:p w14:paraId="1BC9757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CFB27E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E7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EF7818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15" w:type="pct"/>
            <w:vMerge w:val="restart"/>
            <w:vAlign w:val="center"/>
          </w:tcPr>
          <w:p w14:paraId="7C0AC9D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b/>
                <w:bCs/>
                <w:sz w:val="28"/>
                <w:szCs w:val="28"/>
              </w:rPr>
              <w:t>产品技术规格</w:t>
            </w:r>
          </w:p>
        </w:tc>
        <w:tc>
          <w:tcPr>
            <w:tcW w:w="1680" w:type="pct"/>
            <w:vAlign w:val="center"/>
          </w:tcPr>
          <w:p w14:paraId="3FC54CA5">
            <w:pPr>
              <w:pageBreakBefore w:val="0"/>
              <w:kinsoku/>
              <w:overflowPunct/>
              <w:topLinePunct w:val="0"/>
              <w:bidi w:val="0"/>
              <w:spacing w:line="360" w:lineRule="auto"/>
              <w:ind w:left="0" w:leftChars="0" w:right="0" w:rightChars="0"/>
              <w:jc w:val="center"/>
              <w:textAlignment w:val="auto"/>
              <w:rPr>
                <w:rFonts w:hint="eastAsia" w:eastAsia="@仿宋_GB2312" w:asciiTheme="minorEastAsia" w:hAnsiTheme="minorEastAsia" w:cstheme="minorEastAsia"/>
                <w:color w:val="auto"/>
                <w:sz w:val="24"/>
                <w:highlight w:val="none"/>
                <w:lang w:eastAsia="zh-CN"/>
              </w:rPr>
            </w:pPr>
            <w:r>
              <w:rPr>
                <w:rFonts w:hint="eastAsia"/>
                <w:sz w:val="28"/>
                <w:szCs w:val="28"/>
              </w:rPr>
              <w:t>外形尺寸：2100x960x500mm</w:t>
            </w:r>
            <w:r>
              <w:rPr>
                <w:rFonts w:hint="eastAsia"/>
                <w:sz w:val="28"/>
                <w:szCs w:val="28"/>
                <w:lang w:eastAsia="zh-CN"/>
              </w:rPr>
              <w:t>；</w:t>
            </w:r>
          </w:p>
        </w:tc>
        <w:tc>
          <w:tcPr>
            <w:tcW w:w="1456" w:type="pct"/>
            <w:vAlign w:val="center"/>
          </w:tcPr>
          <w:p w14:paraId="7F92FD9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A0BBCE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18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87DF19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915" w:type="pct"/>
            <w:vMerge w:val="continue"/>
            <w:tcBorders/>
            <w:vAlign w:val="center"/>
          </w:tcPr>
          <w:p w14:paraId="4BE6BC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B2E3BFB">
            <w:pPr>
              <w:pageBreakBefore w:val="0"/>
              <w:kinsoku/>
              <w:overflowPunct/>
              <w:topLinePunct w:val="0"/>
              <w:bidi w:val="0"/>
              <w:spacing w:line="360" w:lineRule="auto"/>
              <w:ind w:left="0" w:leftChars="0" w:right="0" w:rightChars="0"/>
              <w:jc w:val="center"/>
              <w:textAlignment w:val="auto"/>
              <w:rPr>
                <w:rFonts w:hint="eastAsia" w:eastAsia="@仿宋_GB2312" w:asciiTheme="minorEastAsia" w:hAnsiTheme="minorEastAsia" w:cstheme="minorEastAsia"/>
                <w:color w:val="auto"/>
                <w:sz w:val="24"/>
                <w:highlight w:val="none"/>
                <w:lang w:eastAsia="zh-CN"/>
              </w:rPr>
            </w:pPr>
            <w:r>
              <w:rPr>
                <w:rFonts w:hint="eastAsia"/>
                <w:sz w:val="28"/>
                <w:szCs w:val="28"/>
              </w:rPr>
              <w:t>功能：背部倾斜度0-75，腿部倾斜度0-40，静态负载220kg</w:t>
            </w:r>
            <w:r>
              <w:rPr>
                <w:rFonts w:hint="eastAsia"/>
                <w:sz w:val="28"/>
                <w:szCs w:val="28"/>
                <w:lang w:eastAsia="zh-CN"/>
              </w:rPr>
              <w:t>；</w:t>
            </w:r>
          </w:p>
        </w:tc>
        <w:tc>
          <w:tcPr>
            <w:tcW w:w="1456" w:type="pct"/>
            <w:vAlign w:val="center"/>
          </w:tcPr>
          <w:p w14:paraId="704D7789">
            <w:pPr>
              <w:pStyle w:val="6"/>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367646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865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D2B992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915" w:type="pct"/>
            <w:vMerge w:val="continue"/>
            <w:tcBorders/>
            <w:vAlign w:val="center"/>
          </w:tcPr>
          <w:p w14:paraId="3A19A5A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CB6FD4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床框：采用40x60*1.2mm厚优质冷轧方管，床脚：采用50*50*1.2mm厚优质冷拉方管</w:t>
            </w:r>
            <w:r>
              <w:rPr>
                <w:rFonts w:hint="eastAsia"/>
                <w:sz w:val="28"/>
                <w:szCs w:val="28"/>
                <w:lang w:eastAsia="zh-CN"/>
              </w:rPr>
              <w:t>；</w:t>
            </w:r>
          </w:p>
        </w:tc>
        <w:tc>
          <w:tcPr>
            <w:tcW w:w="1456" w:type="pct"/>
            <w:vAlign w:val="center"/>
          </w:tcPr>
          <w:p w14:paraId="1A4B7EF0">
            <w:pPr>
              <w:pStyle w:val="6"/>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22B5623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0B6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9B2C5C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915" w:type="pct"/>
            <w:vMerge w:val="restart"/>
            <w:vAlign w:val="center"/>
          </w:tcPr>
          <w:p w14:paraId="2B70F5B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b/>
                <w:bCs/>
                <w:sz w:val="28"/>
                <w:szCs w:val="28"/>
              </w:rPr>
              <w:t>产品技术规格</w:t>
            </w:r>
          </w:p>
        </w:tc>
        <w:tc>
          <w:tcPr>
            <w:tcW w:w="1680" w:type="pct"/>
            <w:vAlign w:val="center"/>
          </w:tcPr>
          <w:p w14:paraId="2EEC23D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床板：整体板结构，采用厚度1.2mm优质冷轧钢板</w:t>
            </w:r>
            <w:r>
              <w:rPr>
                <w:rFonts w:hint="eastAsia"/>
                <w:sz w:val="28"/>
                <w:szCs w:val="28"/>
                <w:lang w:eastAsia="zh-CN"/>
              </w:rPr>
              <w:t>。</w:t>
            </w:r>
            <w:r>
              <w:rPr>
                <w:rFonts w:hint="eastAsia"/>
                <w:sz w:val="28"/>
                <w:szCs w:val="28"/>
              </w:rPr>
              <w:t>整体一次模压成型，床面带多孔设计，每块床板无拼缝，无包边；</w:t>
            </w:r>
          </w:p>
        </w:tc>
        <w:tc>
          <w:tcPr>
            <w:tcW w:w="1456" w:type="pct"/>
            <w:vAlign w:val="center"/>
          </w:tcPr>
          <w:p w14:paraId="648418B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CAA47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2D3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08A9F0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w:t>
            </w:r>
          </w:p>
        </w:tc>
        <w:tc>
          <w:tcPr>
            <w:tcW w:w="915" w:type="pct"/>
            <w:vMerge w:val="continue"/>
            <w:tcBorders/>
            <w:vAlign w:val="center"/>
          </w:tcPr>
          <w:p w14:paraId="263722A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9748F0B">
            <w:pPr>
              <w:pageBreakBefore w:val="0"/>
              <w:kinsoku/>
              <w:overflowPunct/>
              <w:topLinePunct w:val="0"/>
              <w:bidi w:val="0"/>
              <w:spacing w:line="360" w:lineRule="auto"/>
              <w:ind w:left="0" w:leftChars="0" w:right="0" w:rightChars="0"/>
              <w:jc w:val="center"/>
              <w:textAlignment w:val="auto"/>
              <w:rPr>
                <w:rFonts w:hint="eastAsia" w:eastAsia="@仿宋_GB2312" w:asciiTheme="minorEastAsia" w:hAnsiTheme="minorEastAsia" w:cstheme="minorEastAsia"/>
                <w:color w:val="auto"/>
                <w:sz w:val="24"/>
                <w:highlight w:val="none"/>
                <w:lang w:eastAsia="zh-CN"/>
              </w:rPr>
            </w:pPr>
            <w:r>
              <w:rPr>
                <w:rFonts w:hint="eastAsia"/>
                <w:sz w:val="28"/>
                <w:szCs w:val="28"/>
              </w:rPr>
              <w:t>床板连接件：采用3mm厚全钢件连接，背部床板采用双支撑卸力结构</w:t>
            </w:r>
            <w:r>
              <w:rPr>
                <w:rFonts w:hint="eastAsia"/>
                <w:sz w:val="28"/>
                <w:szCs w:val="28"/>
                <w:lang w:eastAsia="zh-CN"/>
              </w:rPr>
              <w:t>；</w:t>
            </w:r>
          </w:p>
        </w:tc>
        <w:tc>
          <w:tcPr>
            <w:tcW w:w="1456" w:type="pct"/>
            <w:vAlign w:val="center"/>
          </w:tcPr>
          <w:p w14:paraId="2D3E901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3A7F96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2D2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5F765CC">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w:t>
            </w:r>
          </w:p>
        </w:tc>
        <w:tc>
          <w:tcPr>
            <w:tcW w:w="915" w:type="pct"/>
            <w:vMerge w:val="continue"/>
            <w:tcBorders/>
            <w:vAlign w:val="center"/>
          </w:tcPr>
          <w:p w14:paraId="23B7BB1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7CDD45E1">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摇杆：双组摇杆，控制背部，腿部升降，具有双向过载保护功能，螺管采用3.0mm厚无缝钢管承接；</w:t>
            </w:r>
          </w:p>
        </w:tc>
        <w:tc>
          <w:tcPr>
            <w:tcW w:w="1456" w:type="pct"/>
            <w:vAlign w:val="center"/>
          </w:tcPr>
          <w:p w14:paraId="68E1CA7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39C0B37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456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E5D830B">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915" w:type="pct"/>
            <w:vMerge w:val="restart"/>
            <w:vAlign w:val="center"/>
          </w:tcPr>
          <w:p w14:paraId="2B7F150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b/>
                <w:bCs/>
                <w:sz w:val="28"/>
                <w:szCs w:val="28"/>
              </w:rPr>
              <w:t>产品技术规格</w:t>
            </w:r>
          </w:p>
        </w:tc>
        <w:tc>
          <w:tcPr>
            <w:tcW w:w="1680" w:type="pct"/>
            <w:vAlign w:val="center"/>
          </w:tcPr>
          <w:p w14:paraId="55DBDAB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喷塑工艺：床体金属表面喷涂采用电泳底漆+静电粉末双重涂层技术，表面经酸洗防锈等处理，金属管材内壁及表面电泳一层环氧树脂保护膜，外表面静电粉末喷涂，保证床体内外防锈；</w:t>
            </w:r>
          </w:p>
        </w:tc>
        <w:tc>
          <w:tcPr>
            <w:tcW w:w="1456" w:type="pct"/>
            <w:vAlign w:val="center"/>
          </w:tcPr>
          <w:p w14:paraId="57E7D9E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75ED91F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F1F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8D973C3">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915" w:type="pct"/>
            <w:vMerge w:val="continue"/>
            <w:tcBorders/>
            <w:vAlign w:val="center"/>
          </w:tcPr>
          <w:p w14:paraId="55B5E20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2D43C4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护栏：采用六档铝合金折叠式护栏，尺寸：1470*370mm(长*宽)，上下支架采用全模具化生产标准件，</w:t>
            </w:r>
            <w:r>
              <w:rPr>
                <w:rFonts w:hint="eastAsia"/>
                <w:sz w:val="28"/>
                <w:szCs w:val="28"/>
                <w:lang w:val="en-US" w:eastAsia="zh-CN"/>
              </w:rPr>
              <w:t>具有</w:t>
            </w:r>
            <w:r>
              <w:rPr>
                <w:rFonts w:hint="eastAsia"/>
                <w:sz w:val="28"/>
                <w:szCs w:val="28"/>
              </w:rPr>
              <w:t>锁件及防夹手功能；</w:t>
            </w:r>
          </w:p>
        </w:tc>
        <w:tc>
          <w:tcPr>
            <w:tcW w:w="1456" w:type="pct"/>
            <w:vAlign w:val="center"/>
          </w:tcPr>
          <w:p w14:paraId="3AEF6AB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3E342C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068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B57F2A8">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915" w:type="pct"/>
            <w:vMerge w:val="restart"/>
            <w:vAlign w:val="center"/>
          </w:tcPr>
          <w:p w14:paraId="1AB583D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b/>
                <w:bCs/>
                <w:sz w:val="28"/>
                <w:szCs w:val="28"/>
              </w:rPr>
              <w:t>产品技术规格</w:t>
            </w:r>
          </w:p>
        </w:tc>
        <w:tc>
          <w:tcPr>
            <w:tcW w:w="1680" w:type="pct"/>
            <w:vAlign w:val="center"/>
          </w:tcPr>
          <w:p w14:paraId="11E8E2D6">
            <w:pPr>
              <w:rPr>
                <w:rFonts w:hint="eastAsia" w:eastAsia="@仿宋_GB2312" w:asciiTheme="minorEastAsia" w:hAnsiTheme="minorEastAsia" w:cstheme="minorEastAsia"/>
                <w:color w:val="auto"/>
                <w:sz w:val="24"/>
                <w:highlight w:val="none"/>
                <w:lang w:eastAsia="zh-CN"/>
              </w:rPr>
            </w:pPr>
            <w:r>
              <w:rPr>
                <w:rFonts w:hint="eastAsia"/>
                <w:sz w:val="28"/>
                <w:szCs w:val="28"/>
              </w:rPr>
              <w:t>床头床尾板：采用原材料无毒级工程塑料一次注塑成形，挂钩式固定结构，</w:t>
            </w:r>
            <w:r>
              <w:rPr>
                <w:rFonts w:hint="eastAsia"/>
                <w:sz w:val="28"/>
                <w:szCs w:val="28"/>
                <w:lang w:val="en-US" w:eastAsia="zh-CN"/>
              </w:rPr>
              <w:t>具有</w:t>
            </w:r>
            <w:r>
              <w:rPr>
                <w:rFonts w:hint="eastAsia"/>
                <w:sz w:val="28"/>
                <w:szCs w:val="28"/>
              </w:rPr>
              <w:t>锁定装置，床尾部带ABS材质病人标识卡插座</w:t>
            </w:r>
            <w:r>
              <w:rPr>
                <w:rFonts w:hint="eastAsia"/>
                <w:sz w:val="28"/>
                <w:szCs w:val="28"/>
                <w:lang w:eastAsia="zh-CN"/>
              </w:rPr>
              <w:t>；</w:t>
            </w:r>
            <w:bookmarkStart w:id="0" w:name="_GoBack"/>
            <w:bookmarkEnd w:id="0"/>
          </w:p>
        </w:tc>
        <w:tc>
          <w:tcPr>
            <w:tcW w:w="1456" w:type="pct"/>
            <w:vAlign w:val="center"/>
          </w:tcPr>
          <w:p w14:paraId="0800729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8BCC8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6BED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4523FC4">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915" w:type="pct"/>
            <w:vMerge w:val="continue"/>
            <w:tcBorders/>
            <w:vAlign w:val="center"/>
          </w:tcPr>
          <w:p w14:paraId="50E0814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A527B3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床脚：床脚带5寸静音脚轮，独立刹车装置，脚轮为万向脚轮，内置自润滑轴承；</w:t>
            </w:r>
          </w:p>
        </w:tc>
        <w:tc>
          <w:tcPr>
            <w:tcW w:w="1456" w:type="pct"/>
            <w:vAlign w:val="center"/>
          </w:tcPr>
          <w:p w14:paraId="3CDC2A3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235772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D84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FAD9EDD">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915" w:type="pct"/>
            <w:vMerge w:val="continue"/>
            <w:tcBorders/>
            <w:vAlign w:val="center"/>
          </w:tcPr>
          <w:p w14:paraId="56BED1F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7DC316E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sz w:val="28"/>
                <w:szCs w:val="28"/>
              </w:rPr>
              <w:t>输液杆插孔：床体两边配备前后左右4个输液架插孔和4个引流袋挂钩，输液架插孔采用0.9mm无缝管精拉成型；</w:t>
            </w:r>
          </w:p>
        </w:tc>
        <w:tc>
          <w:tcPr>
            <w:tcW w:w="1456" w:type="pct"/>
            <w:vAlign w:val="center"/>
          </w:tcPr>
          <w:p w14:paraId="31E7510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DD241D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966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83E803F">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915" w:type="pct"/>
            <w:vAlign w:val="center"/>
          </w:tcPr>
          <w:p w14:paraId="731416A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b/>
                <w:bCs/>
                <w:sz w:val="28"/>
                <w:szCs w:val="28"/>
              </w:rPr>
              <w:t>产品技术规格</w:t>
            </w:r>
          </w:p>
        </w:tc>
        <w:tc>
          <w:tcPr>
            <w:tcW w:w="1680" w:type="pct"/>
            <w:vAlign w:val="center"/>
          </w:tcPr>
          <w:p w14:paraId="17C5BECA">
            <w:pPr>
              <w:rPr>
                <w:rFonts w:hint="eastAsia"/>
                <w:sz w:val="28"/>
                <w:szCs w:val="28"/>
              </w:rPr>
            </w:pPr>
            <w:r>
              <w:rPr>
                <w:rFonts w:hint="eastAsia"/>
                <w:sz w:val="28"/>
                <w:szCs w:val="28"/>
              </w:rPr>
              <w:t>床垫：与病床配套，厚度为80mm厚，采用20mm厚椰棕</w:t>
            </w:r>
            <w:r>
              <w:rPr>
                <w:rFonts w:hint="eastAsia"/>
                <w:sz w:val="28"/>
                <w:szCs w:val="28"/>
                <w:lang w:val="en-US" w:eastAsia="zh-CN"/>
              </w:rPr>
              <w:t>和</w:t>
            </w:r>
            <w:r>
              <w:rPr>
                <w:rFonts w:hint="eastAsia"/>
                <w:sz w:val="28"/>
                <w:szCs w:val="28"/>
              </w:rPr>
              <w:t>60mm厚高密度海绵，防水耐磨面料，两侧有透气孔</w:t>
            </w:r>
            <w:r>
              <w:rPr>
                <w:rFonts w:hint="eastAsia"/>
                <w:sz w:val="28"/>
                <w:szCs w:val="28"/>
                <w:lang w:val="en-US" w:eastAsia="zh-CN"/>
              </w:rPr>
              <w:t>。</w:t>
            </w:r>
          </w:p>
        </w:tc>
        <w:tc>
          <w:tcPr>
            <w:tcW w:w="1456" w:type="pct"/>
            <w:vAlign w:val="center"/>
          </w:tcPr>
          <w:p w14:paraId="3FE5793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DA5F5F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bl>
    <w:p w14:paraId="4690BE1B">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p>
    <w:p w14:paraId="15B11012">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5274B668">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p>
    <w:p w14:paraId="1E28942B">
      <w:pPr>
        <w:pStyle w:val="3"/>
        <w:pageBreakBefore w:val="0"/>
        <w:kinsoku/>
        <w:overflowPunct/>
        <w:topLinePunct w:val="0"/>
        <w:bidi w:val="0"/>
        <w:spacing w:line="360" w:lineRule="auto"/>
        <w:ind w:left="0" w:leftChars="0" w:right="0" w:rightChars="0" w:firstLineChars="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注：投标人应对所承诺的各类参数真实性负责，如中标后被质疑虚假应标且被查实的或在履约过程中被发现虚假响应的，投标人将承担包括但不限于扣除履约保证金（如有）、处以罚金和上报相关主管部门纳入不良信用记录等一切后果及法律责任。</w:t>
      </w:r>
    </w:p>
    <w:p w14:paraId="38FD2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6758C"/>
    <w:rsid w:val="2436758C"/>
    <w:rsid w:val="30A022AD"/>
    <w:rsid w:val="4D6F4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Theme="minorEastAsia" w:cstheme="minorBidi"/>
      <w:szCs w:val="22"/>
    </w:rPr>
  </w:style>
  <w:style w:type="paragraph" w:styleId="3">
    <w:name w:val="Date"/>
    <w:basedOn w:val="1"/>
    <w:next w:val="1"/>
    <w:qFormat/>
    <w:uiPriority w:val="0"/>
    <w:rPr>
      <w:rFonts w:ascii="Arial" w:hAnsi="Arial" w:eastAsia="宋体" w:cs="Arial"/>
      <w:b/>
      <w:sz w:val="28"/>
    </w:rPr>
  </w:style>
  <w:style w:type="paragraph" w:customStyle="1" w:styleId="6">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Words>
  <Characters>171</Characters>
  <Lines>0</Lines>
  <Paragraphs>0</Paragraphs>
  <TotalTime>2</TotalTime>
  <ScaleCrop>false</ScaleCrop>
  <LinksUpToDate>false</LinksUpToDate>
  <CharactersWithSpaces>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2026-05-27T06:39:00Z</dcterms:created>
  <dc:creator>♚fùdōng( •ิ_• ิ)</dc:creator>
  <cp:lastModifiedBy>微信用户</cp:lastModifiedBy>
  <dcterms:modified xsi:type="dcterms:W3CDTF">2026-06-08T07:50:34Z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5E8029C208BB4696942D3BE1571CD03E_11</vt:lpwstr>
  </property>
  <property fmtid="{D5CDD505-2E9C-101B-9397-08002B2CF9AE}" pid="4" name="KSOTemplateDocerSaveRecord">
    <vt:lpwstr>eyJoZGlkIjoiZWI2NzkwNGJiNzk5Yjc4ZTJlNWYyYWQzODMyMzkzMmEiLCJ1c2VySWQiOiIxMjY0MzIwNjcwIn0=</vt:lpwstr>
  </property>
</Properties>
</file>