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r>
        <w:rPr>
          <w:rFonts w:hint="eastAsia" w:eastAsiaTheme="minorEastAsia"/>
          <w:b/>
          <w:bCs/>
          <w:sz w:val="56"/>
          <w:szCs w:val="56"/>
          <w:highlight w:val="none"/>
          <w:lang w:eastAsia="zh-CN"/>
        </w:rPr>
        <w:t>（</w:t>
      </w:r>
      <w:r>
        <w:rPr>
          <w:rFonts w:hint="eastAsia" w:eastAsiaTheme="minorEastAsia"/>
          <w:b/>
          <w:bCs/>
          <w:sz w:val="56"/>
          <w:szCs w:val="56"/>
          <w:highlight w:val="none"/>
          <w:lang w:val="en-US" w:eastAsia="zh-CN"/>
        </w:rPr>
        <w:t>五次</w:t>
      </w:r>
      <w:r>
        <w:rPr>
          <w:rFonts w:hint="eastAsia" w:eastAsiaTheme="minorEastAsia"/>
          <w:b/>
          <w:bCs/>
          <w:sz w:val="56"/>
          <w:szCs w:val="56"/>
          <w:highlight w:val="none"/>
          <w:lang w:eastAsia="zh-CN"/>
        </w:rPr>
        <w:t>）</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06</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eastAsia="宋体"/>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r>
        <w:rPr>
          <w:rFonts w:hint="eastAsia"/>
          <w:b/>
          <w:bCs/>
          <w:sz w:val="32"/>
          <w:szCs w:val="32"/>
          <w:highlight w:val="none"/>
          <w:lang w:eastAsia="zh-CN"/>
        </w:rPr>
        <w:t>（</w:t>
      </w:r>
      <w:r>
        <w:rPr>
          <w:rFonts w:hint="eastAsia"/>
          <w:b/>
          <w:bCs/>
          <w:sz w:val="32"/>
          <w:szCs w:val="32"/>
          <w:highlight w:val="none"/>
          <w:lang w:val="en-US" w:eastAsia="zh-CN"/>
        </w:rPr>
        <w:t>五次</w:t>
      </w:r>
      <w:r>
        <w:rPr>
          <w:rFonts w:hint="eastAsia"/>
          <w:b/>
          <w:bCs/>
          <w:sz w:val="32"/>
          <w:szCs w:val="32"/>
          <w:highlight w:val="none"/>
          <w:lang w:eastAsia="zh-CN"/>
        </w:rPr>
        <w:t>）</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06</w:t>
      </w:r>
      <w:r>
        <w:rPr>
          <w:rFonts w:hint="eastAsia" w:ascii="Times New Roman" w:hAnsi="Times New Roman" w:eastAsiaTheme="minorEastAsia"/>
          <w:sz w:val="24"/>
          <w:szCs w:val="24"/>
          <w:highlight w:val="none"/>
          <w:shd w:val="clear" w:color="auto" w:fill="FFFFFF"/>
          <w:lang w:bidi="ar"/>
        </w:rPr>
        <w:t>月</w:t>
      </w:r>
      <w:r>
        <w:rPr>
          <w:rFonts w:hint="eastAsia" w:ascii="Times New Roman" w:hAnsi="Times New Roman" w:eastAsiaTheme="minorEastAsia"/>
          <w:sz w:val="24"/>
          <w:szCs w:val="24"/>
          <w:highlight w:val="none"/>
          <w:shd w:val="clear" w:color="auto" w:fill="FFFFFF"/>
          <w:lang w:val="en-US" w:eastAsia="zh-CN" w:bidi="ar"/>
        </w:rPr>
        <w:t>12</w:t>
      </w:r>
      <w:r>
        <w:rPr>
          <w:rFonts w:hint="eastAsia" w:ascii="Times New Roman" w:hAnsi="Times New Roman" w:eastAsiaTheme="minorEastAsia"/>
          <w:sz w:val="24"/>
          <w:szCs w:val="24"/>
          <w:highlight w:val="none"/>
          <w:shd w:val="clear" w:color="auto" w:fill="FFFFFF"/>
          <w:lang w:bidi="ar"/>
        </w:rPr>
        <w:t>日1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06</w:t>
      </w:r>
      <w:r>
        <w:rPr>
          <w:rFonts w:hint="eastAsia" w:ascii="Times New Roman" w:hAnsi="Times New Roman" w:cs="Arial" w:eastAsiaTheme="minorEastAsia"/>
          <w:b/>
          <w:bCs/>
          <w:color w:val="0000FF"/>
          <w:sz w:val="24"/>
          <w:szCs w:val="24"/>
          <w:highlight w:val="none"/>
        </w:rPr>
        <w:t>月</w:t>
      </w:r>
      <w:r>
        <w:rPr>
          <w:rFonts w:hint="eastAsia" w:ascii="Times New Roman" w:hAnsi="Times New Roman" w:cs="Arial" w:eastAsiaTheme="minorEastAsia"/>
          <w:b/>
          <w:bCs/>
          <w:color w:val="0000FF"/>
          <w:sz w:val="24"/>
          <w:szCs w:val="24"/>
          <w:highlight w:val="none"/>
          <w:lang w:val="en-US" w:eastAsia="zh-CN"/>
        </w:rPr>
        <w:t>12</w:t>
      </w:r>
      <w:r>
        <w:rPr>
          <w:rFonts w:hint="eastAsia" w:ascii="Times New Roman" w:hAnsi="Times New Roman" w:cs="Arial" w:eastAsiaTheme="minorEastAsia"/>
          <w:b/>
          <w:bCs/>
          <w:color w:val="0000FF"/>
          <w:sz w:val="24"/>
          <w:szCs w:val="24"/>
          <w:highlight w:val="none"/>
        </w:rPr>
        <w:t>日1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0232C5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bookmarkStart w:id="0" w:name="_GoBack"/>
      <w:bookmarkEnd w:id="0"/>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4A24CAD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1、显示方式：液晶显示。</w:t>
      </w:r>
    </w:p>
    <w:p w14:paraId="0D4E7D5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2、输出通道：两路中频加透热输出、两路离子导入直流输出、一路干扰电输出。</w:t>
      </w:r>
    </w:p>
    <w:p w14:paraId="23ECBC1D">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3、中频频率为2kHz～10kHz，单一频率允差±10％；</w:t>
      </w:r>
    </w:p>
    <w:p w14:paraId="5587FD0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4、调制频率为0～150Hz，单一频率允差±10％或±1Hz取大值。</w:t>
      </w:r>
    </w:p>
    <w:p w14:paraId="31EDAEC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5、中频载波波形：双向方波，脉宽50us～250us，允差±10％。调制波形有正弦波、方波、三角波、指数波、锯齿波、尖波、等幅波。调制方式：连续、断续、间歇、变频、疏密和交替调制。</w:t>
      </w:r>
    </w:p>
    <w:p w14:paraId="52A62165">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6、中频调幅度：0%、25%、50%、75%、100%，允差±5％。</w:t>
      </w:r>
    </w:p>
    <w:p w14:paraId="7DB4664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7、具有60个固定处方，是理疗专家根据不同的疾病而编制成的，可供医生参考使用。</w:t>
      </w:r>
    </w:p>
    <w:p w14:paraId="67CCE09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8、中频输出电流：在500Ω的负载下，每路输出电流不大于100mA。输出强度分0～99级可调。</w:t>
      </w:r>
    </w:p>
    <w:p w14:paraId="56EB020B">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9、干扰电性能</w:t>
      </w:r>
    </w:p>
    <w:p w14:paraId="7267AA0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工作频率：4kHz，允差±10％。</w:t>
      </w:r>
    </w:p>
    <w:p w14:paraId="214B5EEF">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调制频率：0.125Hz，允差±10％。</w:t>
      </w:r>
    </w:p>
    <w:p w14:paraId="7CF125D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差频频率范围：0～112Hz，允差±10％或±1Hz取较大值。</w:t>
      </w:r>
    </w:p>
    <w:p w14:paraId="2BB4F278">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调幅度：0%、100%，允差±5％。</w:t>
      </w:r>
    </w:p>
    <w:p w14:paraId="7AB33732">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10、输出电流稳定度：不同负载下的输出电流变化率应不大于10%。。</w:t>
      </w:r>
    </w:p>
    <w:p w14:paraId="0A8A1540">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11、中频输出峰值电压：在开路条件下测量时，中频输出峰值电压不得超过500V。</w:t>
      </w:r>
    </w:p>
    <w:p w14:paraId="130E9EB6">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12、运行：输出设定到最大值时，将输出端开路运行10min后再短路运行5min，治疗仪应能正常工作。</w:t>
      </w:r>
    </w:p>
    <w:p w14:paraId="77321854">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13、电极板温度：38℃～55℃，分6档可调，允差±3℃。</w:t>
      </w:r>
    </w:p>
    <w:p w14:paraId="0C451AAC">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14、离子导入输出直流电流：在500Ω的负载下，每路输出电流不超过50mA，分0～99级可调。</w:t>
      </w:r>
    </w:p>
    <w:p w14:paraId="764E6639">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15、电极板：应选购具有一类医疗器械备案凭证的合格产品。</w:t>
      </w:r>
    </w:p>
    <w:p w14:paraId="2A252851">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16、治疗时间已在处方中，根据处方不同为20min、30min，治疗时间到了有音响提示，并停止输出，时间允差±1min。</w:t>
      </w:r>
    </w:p>
    <w:p w14:paraId="7F1169A7">
      <w:pPr>
        <w:widowControl/>
        <w:spacing w:line="360" w:lineRule="auto"/>
        <w:jc w:val="left"/>
        <w:rPr>
          <w:rFonts w:hint="eastAsia" w:ascii="仿宋_GB2312" w:eastAsia="仿宋_GB2312"/>
          <w:kern w:val="0"/>
          <w:sz w:val="24"/>
          <w:highlight w:val="none"/>
          <w:lang w:val="en-US" w:eastAsia="zh-CN"/>
        </w:rPr>
      </w:pPr>
      <w:r>
        <w:rPr>
          <w:rFonts w:hint="eastAsia" w:ascii="仿宋_GB2312" w:eastAsia="仿宋_GB2312"/>
          <w:kern w:val="0"/>
          <w:sz w:val="24"/>
          <w:highlight w:val="none"/>
          <w:lang w:val="en-US" w:eastAsia="zh-CN"/>
        </w:rPr>
        <w:t>17、生产厂家通过环境管理体系和职业健康安全管理体系认证。</w:t>
      </w:r>
    </w:p>
    <w:p w14:paraId="2A3BF462">
      <w:pPr>
        <w:jc w:val="left"/>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 xml:space="preserve">                                                                                                     </w:t>
      </w:r>
    </w:p>
    <w:p w14:paraId="27924BAC">
      <w:pPr>
        <w:spacing w:line="360" w:lineRule="auto"/>
        <w:jc w:val="left"/>
        <w:rPr>
          <w:rFonts w:hint="eastAsia" w:ascii="宋体" w:hAnsi="宋体" w:eastAsia="宋体" w:cs="宋体"/>
          <w:b w:val="0"/>
          <w:bCs w:val="0"/>
          <w:sz w:val="30"/>
          <w:szCs w:val="30"/>
          <w:u w:val="none"/>
          <w:lang w:val="en-US" w:eastAsia="zh-CN"/>
        </w:rPr>
      </w:pPr>
    </w:p>
    <w:p w14:paraId="7A2E15F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2C50FB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4FF3C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E0F32D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D8660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66F5FED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63BC55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CC42D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44BFD7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68DBA21">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D5FEA3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20119E6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485BD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1C36EDC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EF5023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3D2769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7B1438A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0B25217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F069A52">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3BAF9CBC">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595ACB6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30A6883A">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4C474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2F92BE4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193AB99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2DFC237E">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335D47FB">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5CE56A5D">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65D3DE84">
            <w:pPr>
              <w:widowControl/>
              <w:spacing w:line="360" w:lineRule="auto"/>
              <w:jc w:val="center"/>
              <w:rPr>
                <w:rFonts w:hint="eastAsia" w:ascii="仿宋_GB2312" w:eastAsia="仿宋_GB2312"/>
                <w:kern w:val="0"/>
                <w:sz w:val="24"/>
                <w:highlight w:val="none"/>
              </w:rPr>
            </w:pPr>
          </w:p>
          <w:p w14:paraId="175EB4C8">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5E47CD39">
            <w:pPr>
              <w:widowControl/>
              <w:spacing w:line="360" w:lineRule="auto"/>
              <w:jc w:val="center"/>
              <w:rPr>
                <w:rFonts w:hint="eastAsia" w:ascii="仿宋_GB2312" w:eastAsia="仿宋_GB2312"/>
                <w:kern w:val="0"/>
                <w:sz w:val="24"/>
                <w:highlight w:val="none"/>
              </w:rPr>
            </w:pPr>
          </w:p>
          <w:p w14:paraId="68CDD846">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7F110EB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382E530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08431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FC3066">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532131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8ED138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5E2602C">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65CB83A">
            <w:pPr>
              <w:widowControl/>
              <w:spacing w:line="360" w:lineRule="auto"/>
              <w:jc w:val="center"/>
              <w:rPr>
                <w:rFonts w:hint="eastAsia" w:ascii="仿宋_GB2312" w:eastAsia="仿宋_GB2312"/>
                <w:kern w:val="0"/>
                <w:sz w:val="24"/>
                <w:highlight w:val="none"/>
              </w:rPr>
            </w:pPr>
          </w:p>
        </w:tc>
        <w:tc>
          <w:tcPr>
            <w:tcW w:w="0" w:type="auto"/>
            <w:noWrap w:val="0"/>
            <w:vAlign w:val="top"/>
          </w:tcPr>
          <w:p w14:paraId="3EA03652">
            <w:pPr>
              <w:widowControl/>
              <w:spacing w:line="360" w:lineRule="auto"/>
              <w:jc w:val="center"/>
              <w:rPr>
                <w:rFonts w:hint="eastAsia" w:ascii="仿宋_GB2312" w:eastAsia="仿宋_GB2312"/>
                <w:kern w:val="0"/>
                <w:sz w:val="24"/>
                <w:highlight w:val="none"/>
              </w:rPr>
            </w:pPr>
          </w:p>
        </w:tc>
        <w:tc>
          <w:tcPr>
            <w:tcW w:w="0" w:type="auto"/>
            <w:noWrap w:val="0"/>
            <w:vAlign w:val="top"/>
          </w:tcPr>
          <w:p w14:paraId="644F0CE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AD1489A">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0C3D4A8A">
            <w:pPr>
              <w:widowControl/>
              <w:spacing w:line="360" w:lineRule="auto"/>
              <w:jc w:val="center"/>
              <w:rPr>
                <w:rFonts w:hint="eastAsia" w:ascii="仿宋_GB2312" w:eastAsia="仿宋_GB2312"/>
                <w:kern w:val="0"/>
                <w:sz w:val="24"/>
                <w:highlight w:val="none"/>
              </w:rPr>
            </w:pPr>
          </w:p>
        </w:tc>
      </w:tr>
      <w:tr w14:paraId="613C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DEA838D">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68CB34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C7D6181">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197E0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9DA8109">
            <w:pPr>
              <w:widowControl/>
              <w:spacing w:line="360" w:lineRule="auto"/>
              <w:jc w:val="center"/>
              <w:rPr>
                <w:rFonts w:hint="eastAsia" w:ascii="仿宋_GB2312" w:eastAsia="仿宋_GB2312"/>
                <w:kern w:val="0"/>
                <w:sz w:val="24"/>
                <w:highlight w:val="none"/>
              </w:rPr>
            </w:pPr>
          </w:p>
        </w:tc>
        <w:tc>
          <w:tcPr>
            <w:tcW w:w="0" w:type="auto"/>
            <w:noWrap w:val="0"/>
            <w:vAlign w:val="top"/>
          </w:tcPr>
          <w:p w14:paraId="1F3D2A5B">
            <w:pPr>
              <w:widowControl/>
              <w:spacing w:line="360" w:lineRule="auto"/>
              <w:jc w:val="center"/>
              <w:rPr>
                <w:rFonts w:hint="eastAsia" w:ascii="仿宋_GB2312" w:eastAsia="仿宋_GB2312"/>
                <w:kern w:val="0"/>
                <w:sz w:val="24"/>
                <w:highlight w:val="none"/>
              </w:rPr>
            </w:pPr>
          </w:p>
        </w:tc>
        <w:tc>
          <w:tcPr>
            <w:tcW w:w="0" w:type="auto"/>
            <w:noWrap w:val="0"/>
            <w:vAlign w:val="top"/>
          </w:tcPr>
          <w:p w14:paraId="7564DD9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BAC7A79">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742BA8C8">
            <w:pPr>
              <w:widowControl/>
              <w:spacing w:line="360" w:lineRule="auto"/>
              <w:jc w:val="center"/>
              <w:rPr>
                <w:rFonts w:hint="eastAsia" w:ascii="仿宋_GB2312" w:eastAsia="仿宋_GB2312"/>
                <w:kern w:val="0"/>
                <w:sz w:val="24"/>
                <w:highlight w:val="none"/>
              </w:rPr>
            </w:pPr>
          </w:p>
        </w:tc>
      </w:tr>
      <w:tr w14:paraId="539C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559E195A">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46EDD80A">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CCAE9AD">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55AA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027C7670">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63069298">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241E05B4">
            <w:pPr>
              <w:widowControl/>
              <w:spacing w:line="360" w:lineRule="auto"/>
              <w:jc w:val="left"/>
              <w:rPr>
                <w:rFonts w:hint="eastAsia" w:ascii="仿宋_GB2312" w:eastAsia="仿宋_GB2312"/>
                <w:kern w:val="0"/>
                <w:sz w:val="24"/>
                <w:highlight w:val="none"/>
              </w:rPr>
            </w:pPr>
          </w:p>
        </w:tc>
      </w:tr>
    </w:tbl>
    <w:p w14:paraId="5599C813">
      <w:pPr>
        <w:widowControl/>
        <w:spacing w:line="600" w:lineRule="atLeast"/>
        <w:ind w:left="540" w:firstLine="30"/>
        <w:jc w:val="center"/>
        <w:rPr>
          <w:rFonts w:hint="eastAsia" w:ascii="宋体" w:hAnsi="宋体" w:eastAsia="宋体" w:cs="Times New Roman"/>
          <w:b/>
          <w:bCs/>
          <w:kern w:val="0"/>
          <w:sz w:val="36"/>
          <w:szCs w:val="36"/>
          <w:highlight w:val="none"/>
        </w:rPr>
      </w:pPr>
    </w:p>
    <w:p w14:paraId="54F2DDDE">
      <w:pPr>
        <w:widowControl/>
        <w:spacing w:line="360" w:lineRule="auto"/>
        <w:rPr>
          <w:rFonts w:hint="eastAsia" w:ascii="仿宋_GB2312" w:eastAsia="仿宋_GB2312"/>
          <w:kern w:val="0"/>
          <w:sz w:val="24"/>
          <w:highlight w:val="none"/>
        </w:rPr>
      </w:pPr>
    </w:p>
    <w:p w14:paraId="356EF270">
      <w:pPr>
        <w:widowControl/>
        <w:spacing w:line="360" w:lineRule="auto"/>
        <w:rPr>
          <w:rFonts w:hint="eastAsia" w:ascii="仿宋_GB2312" w:eastAsia="仿宋_GB2312"/>
          <w:kern w:val="0"/>
          <w:sz w:val="24"/>
          <w:highlight w:val="none"/>
        </w:rPr>
      </w:pPr>
    </w:p>
    <w:p w14:paraId="3A2456EF">
      <w:pPr>
        <w:widowControl/>
        <w:spacing w:line="360" w:lineRule="auto"/>
        <w:rPr>
          <w:rFonts w:hint="eastAsia" w:ascii="仿宋_GB2312" w:eastAsia="仿宋_GB2312"/>
          <w:kern w:val="0"/>
          <w:sz w:val="24"/>
          <w:highlight w:val="none"/>
        </w:rPr>
      </w:pPr>
    </w:p>
    <w:p w14:paraId="3AB1AC65">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7F1A0F6E">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6B118821">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BF49A88">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46E11359">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74A9FEB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63CA22C">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4003E2D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BF0357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BE8619B">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4805D4">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6EA3B6A2">
      <w:pPr>
        <w:widowControl/>
        <w:snapToGrid w:val="0"/>
        <w:spacing w:line="420" w:lineRule="atLeast"/>
        <w:ind w:firstLine="480"/>
        <w:rPr>
          <w:rFonts w:hint="eastAsia" w:ascii="仿宋_GB2312" w:eastAsia="仿宋_GB2312"/>
          <w:kern w:val="0"/>
          <w:sz w:val="24"/>
          <w:highlight w:val="none"/>
        </w:rPr>
      </w:pPr>
    </w:p>
    <w:p w14:paraId="400FAB67">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096C1D51">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79798A82">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4722A0C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F38C6D6">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1EFAA2BD">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671588A">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DBBECE6">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808DD4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627A08C">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02F41FDC">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09169510">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0559043E">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60338D13">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0BD371">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8381C38">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38CBA8AC">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A652773">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6F0C307">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5F41B4B1">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4A0ABB10">
            <w:pPr>
              <w:widowControl/>
              <w:snapToGrid w:val="0"/>
              <w:ind w:firstLine="480"/>
              <w:jc w:val="center"/>
              <w:rPr>
                <w:rFonts w:ascii="仿宋_GB2312" w:eastAsia="仿宋_GB2312"/>
                <w:kern w:val="0"/>
                <w:sz w:val="24"/>
                <w:highlight w:val="none"/>
              </w:rPr>
            </w:pPr>
          </w:p>
        </w:tc>
      </w:tr>
      <w:tr w14:paraId="463BE74D">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5A809319">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282B2C">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1DF5145">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B0C445F">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FEBEB2B">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7834695">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17E0258">
            <w:pPr>
              <w:snapToGrid w:val="0"/>
              <w:ind w:firstLine="480"/>
              <w:jc w:val="center"/>
              <w:rPr>
                <w:rFonts w:eastAsia="仿宋_GB2312"/>
                <w:kern w:val="0"/>
                <w:sz w:val="24"/>
                <w:highlight w:val="none"/>
              </w:rPr>
            </w:pPr>
          </w:p>
        </w:tc>
      </w:tr>
      <w:tr w14:paraId="1517EB8A">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F2E3CAB">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F9D4EA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56A06">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80382E5">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D614CE1">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59DB9EA">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A63B893">
            <w:pPr>
              <w:widowControl/>
              <w:snapToGrid w:val="0"/>
              <w:ind w:firstLine="480"/>
              <w:jc w:val="center"/>
              <w:rPr>
                <w:rFonts w:ascii="仿宋_GB2312" w:eastAsia="仿宋_GB2312"/>
                <w:kern w:val="0"/>
                <w:sz w:val="24"/>
                <w:highlight w:val="none"/>
              </w:rPr>
            </w:pPr>
          </w:p>
        </w:tc>
      </w:tr>
      <w:tr w14:paraId="72697B4D">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2CC9E463">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FF216C4">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3BF20A5">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F9C4318">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99493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D29E6D6">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EA419C9">
            <w:pPr>
              <w:widowControl/>
              <w:snapToGrid w:val="0"/>
              <w:ind w:firstLine="480"/>
              <w:jc w:val="center"/>
              <w:rPr>
                <w:rFonts w:ascii="仿宋_GB2312" w:eastAsia="仿宋_GB2312"/>
                <w:kern w:val="0"/>
                <w:sz w:val="24"/>
                <w:highlight w:val="none"/>
              </w:rPr>
            </w:pPr>
          </w:p>
        </w:tc>
      </w:tr>
      <w:tr w14:paraId="55FAC474">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486A1CA">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93D5027">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54CC87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369AFD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9EE6BC6">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0A54784">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FFDC1D">
            <w:pPr>
              <w:widowControl/>
              <w:snapToGrid w:val="0"/>
              <w:ind w:firstLine="480"/>
              <w:jc w:val="center"/>
              <w:rPr>
                <w:rFonts w:ascii="仿宋_GB2312" w:eastAsia="仿宋_GB2312"/>
                <w:kern w:val="0"/>
                <w:sz w:val="24"/>
                <w:highlight w:val="none"/>
              </w:rPr>
            </w:pPr>
          </w:p>
        </w:tc>
      </w:tr>
    </w:tbl>
    <w:p w14:paraId="3DD1F7CA">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05F22895">
      <w:pPr>
        <w:widowControl/>
        <w:snapToGrid w:val="0"/>
        <w:spacing w:line="420" w:lineRule="atLeast"/>
        <w:ind w:firstLine="480"/>
        <w:jc w:val="right"/>
        <w:rPr>
          <w:rFonts w:hint="eastAsia" w:ascii="仿宋_GB2312" w:eastAsia="仿宋_GB2312"/>
          <w:kern w:val="0"/>
          <w:sz w:val="24"/>
          <w:highlight w:val="none"/>
        </w:rPr>
      </w:pPr>
    </w:p>
    <w:p w14:paraId="0D6901A7">
      <w:pPr>
        <w:widowControl/>
        <w:snapToGrid w:val="0"/>
        <w:spacing w:line="420" w:lineRule="atLeast"/>
        <w:ind w:firstLine="480"/>
        <w:jc w:val="right"/>
        <w:rPr>
          <w:rFonts w:hint="eastAsia" w:ascii="仿宋_GB2312" w:hAnsi="宋体" w:eastAsia="仿宋_GB2312"/>
          <w:spacing w:val="20"/>
          <w:kern w:val="0"/>
          <w:sz w:val="24"/>
          <w:highlight w:val="none"/>
        </w:rPr>
      </w:pPr>
    </w:p>
    <w:p w14:paraId="1E6CF520">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77105E8C">
      <w:pPr>
        <w:widowControl/>
        <w:snapToGrid w:val="0"/>
        <w:spacing w:line="420" w:lineRule="atLeast"/>
        <w:ind w:firstLine="480"/>
        <w:jc w:val="right"/>
        <w:rPr>
          <w:rFonts w:hint="eastAsia" w:ascii="仿宋_GB2312" w:eastAsia="仿宋_GB2312"/>
          <w:kern w:val="0"/>
          <w:sz w:val="24"/>
          <w:highlight w:val="none"/>
        </w:rPr>
      </w:pPr>
    </w:p>
    <w:p w14:paraId="3A18A778">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72E02F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7F110BE3">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00EE8EBE">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6B809D7A">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2E134A17">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7736016C">
      <w:pPr>
        <w:widowControl/>
        <w:spacing w:line="360" w:lineRule="auto"/>
        <w:rPr>
          <w:rFonts w:hint="eastAsia" w:hAnsi="宋体"/>
          <w:b/>
          <w:bCs/>
          <w:spacing w:val="-2"/>
          <w:kern w:val="0"/>
          <w:sz w:val="30"/>
          <w:szCs w:val="30"/>
          <w:highlight w:val="none"/>
        </w:rPr>
      </w:pPr>
    </w:p>
    <w:p w14:paraId="428BE7A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5B8958F2">
      <w:pPr>
        <w:widowControl/>
        <w:snapToGrid w:val="0"/>
        <w:spacing w:line="420" w:lineRule="atLeast"/>
        <w:jc w:val="both"/>
        <w:rPr>
          <w:rFonts w:hint="eastAsia" w:ascii="仿宋_GB2312" w:eastAsia="仿宋_GB2312"/>
          <w:kern w:val="0"/>
          <w:szCs w:val="21"/>
          <w:highlight w:val="none"/>
        </w:rPr>
      </w:pPr>
    </w:p>
    <w:p w14:paraId="3CE6F90F">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40350C64">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6A4F4F30">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98E35B">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E1829B5">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856D61A">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64F49D9">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1867445F">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A42CD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74C9B482">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444675">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E6C6FC6">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F84AC2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CA019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D84D8F3">
            <w:pPr>
              <w:widowControl/>
              <w:snapToGrid w:val="0"/>
              <w:spacing w:line="480" w:lineRule="auto"/>
              <w:ind w:firstLine="480"/>
              <w:jc w:val="center"/>
              <w:rPr>
                <w:rFonts w:hint="eastAsia" w:ascii="仿宋_GB2312" w:eastAsia="仿宋_GB2312"/>
                <w:kern w:val="0"/>
                <w:sz w:val="24"/>
                <w:highlight w:val="none"/>
              </w:rPr>
            </w:pPr>
          </w:p>
        </w:tc>
      </w:tr>
      <w:tr w14:paraId="052A101C">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111210">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60E99E8">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4A2405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331620">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0FDE9B">
            <w:pPr>
              <w:widowControl/>
              <w:snapToGrid w:val="0"/>
              <w:spacing w:line="480" w:lineRule="auto"/>
              <w:ind w:firstLine="480"/>
              <w:jc w:val="center"/>
              <w:rPr>
                <w:rFonts w:hint="eastAsia" w:ascii="仿宋_GB2312" w:eastAsia="仿宋_GB2312"/>
                <w:kern w:val="0"/>
                <w:sz w:val="24"/>
                <w:highlight w:val="none"/>
              </w:rPr>
            </w:pPr>
          </w:p>
        </w:tc>
      </w:tr>
      <w:tr w14:paraId="0BB069F5">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27396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22F847">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C63AFB3">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3A79BE8">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D86AA95">
            <w:pPr>
              <w:widowControl/>
              <w:snapToGrid w:val="0"/>
              <w:spacing w:line="480" w:lineRule="auto"/>
              <w:ind w:firstLine="480"/>
              <w:jc w:val="center"/>
              <w:rPr>
                <w:rFonts w:hint="eastAsia" w:ascii="仿宋_GB2312" w:eastAsia="仿宋_GB2312"/>
                <w:kern w:val="0"/>
                <w:sz w:val="24"/>
                <w:highlight w:val="none"/>
              </w:rPr>
            </w:pPr>
          </w:p>
        </w:tc>
      </w:tr>
      <w:tr w14:paraId="44210B6B">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107DAD">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221C073">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87084C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9F2B7C">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9DA1064">
            <w:pPr>
              <w:widowControl/>
              <w:snapToGrid w:val="0"/>
              <w:spacing w:line="480" w:lineRule="auto"/>
              <w:ind w:firstLine="480"/>
              <w:jc w:val="center"/>
              <w:rPr>
                <w:rFonts w:hint="eastAsia" w:ascii="仿宋_GB2312" w:eastAsia="仿宋_GB2312"/>
                <w:kern w:val="0"/>
                <w:sz w:val="24"/>
                <w:highlight w:val="none"/>
              </w:rPr>
            </w:pPr>
          </w:p>
        </w:tc>
      </w:tr>
    </w:tbl>
    <w:p w14:paraId="4FCDE74F">
      <w:pPr>
        <w:widowControl/>
        <w:snapToGrid w:val="0"/>
        <w:spacing w:line="360" w:lineRule="auto"/>
        <w:ind w:firstLine="480"/>
        <w:jc w:val="left"/>
        <w:rPr>
          <w:rFonts w:hint="eastAsia" w:ascii="仿宋_GB2312" w:eastAsia="仿宋_GB2312"/>
          <w:spacing w:val="20"/>
          <w:kern w:val="0"/>
          <w:sz w:val="24"/>
          <w:highlight w:val="none"/>
        </w:rPr>
      </w:pPr>
    </w:p>
    <w:p w14:paraId="0A26D7D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2A382645">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7036C995">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ED062C4">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4035D6DF">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6F3B40E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1FFFEE7A">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7596EC84">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2AEEED77">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0A03A887">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0108CE7A">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1FF39D3E">
      <w:pPr>
        <w:spacing w:line="240" w:lineRule="atLeast"/>
        <w:rPr>
          <w:rFonts w:hint="eastAsia" w:ascii="Arial" w:hAnsi="Arial" w:eastAsia="仿宋_GB2312"/>
          <w:sz w:val="28"/>
          <w:highlight w:val="none"/>
        </w:rPr>
      </w:pPr>
    </w:p>
    <w:p w14:paraId="660E9874">
      <w:pPr>
        <w:spacing w:line="240" w:lineRule="atLeast"/>
        <w:rPr>
          <w:rFonts w:hint="eastAsia" w:ascii="Arial" w:hAnsi="Arial" w:eastAsia="仿宋_GB2312"/>
          <w:sz w:val="28"/>
          <w:highlight w:val="none"/>
        </w:rPr>
      </w:pPr>
    </w:p>
    <w:p w14:paraId="7C2252E2">
      <w:pPr>
        <w:spacing w:line="240" w:lineRule="atLeast"/>
        <w:rPr>
          <w:rFonts w:hint="eastAsia" w:ascii="Arial" w:hAnsi="Arial" w:eastAsia="仿宋_GB2312"/>
          <w:sz w:val="28"/>
          <w:highlight w:val="none"/>
        </w:rPr>
      </w:pPr>
    </w:p>
    <w:p w14:paraId="7CA323B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56FEBF27">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7FF5B36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1F89F280">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579FA885">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12C69F9A">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5820F01D">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4F3039D4">
      <w:pPr>
        <w:spacing w:line="240" w:lineRule="atLeast"/>
        <w:ind w:firstLine="1400" w:firstLineChars="500"/>
        <w:rPr>
          <w:rFonts w:hint="eastAsia" w:ascii="Arial" w:hAnsi="Arial" w:eastAsia="仿宋_GB2312"/>
          <w:sz w:val="28"/>
          <w:highlight w:val="none"/>
        </w:rPr>
      </w:pPr>
    </w:p>
    <w:p w14:paraId="0F99FF6F">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12CE7A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54E1BE0">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269D7D55">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09311360">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58334C0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76EED6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3D7F0B9">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2E3B4B4E">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2EA9A94C">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5F2EA5A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2DDE01E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51655EB8">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3D51AC41">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296DCAE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1EE7CED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A5DA014">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398CBBD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E01404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5074CD97">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47AFF326">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722173C">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FA3D007">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1CC449B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05291D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4C3F1555">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00B1341">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57DAEBDB">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4F0A236C">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6120C32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7AC2DB49">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3065EB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D634095">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2B7B66"/>
    <w:rsid w:val="25E6682C"/>
    <w:rsid w:val="2632677E"/>
    <w:rsid w:val="281D69FA"/>
    <w:rsid w:val="28673930"/>
    <w:rsid w:val="2AA7517C"/>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8763D87"/>
    <w:rsid w:val="48844A33"/>
    <w:rsid w:val="489E7539"/>
    <w:rsid w:val="49537AA3"/>
    <w:rsid w:val="4A224304"/>
    <w:rsid w:val="4BAF0707"/>
    <w:rsid w:val="4C0B3820"/>
    <w:rsid w:val="4EDC74C7"/>
    <w:rsid w:val="4F9A0168"/>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89E1E06"/>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3232</Words>
  <Characters>3581</Characters>
  <Lines>2</Lines>
  <Paragraphs>1</Paragraphs>
  <TotalTime>11</TotalTime>
  <ScaleCrop>false</ScaleCrop>
  <LinksUpToDate>false</LinksUpToDate>
  <CharactersWithSpaces>5061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糖果的诱惑</cp:lastModifiedBy>
  <cp:lastPrinted>2019-02-14T07:27:00Z</cp:lastPrinted>
  <dcterms:modified xsi:type="dcterms:W3CDTF">2026-06-09T00:59:12Z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2A3A951BC5E24AB2B88D4FDAD2768DBD_13</vt:lpwstr>
  </property>
  <property fmtid="{D5CDD505-2E9C-101B-9397-08002B2CF9AE}" pid="4" name="KSOTemplateDocerSaveRecord">
    <vt:lpwstr>eyJoZGlkIjoiYzkzOTNhNjJlN2Q1NWJmNjQ2ZmRhODAyMDk1NWJkMzQiLCJ1c2VySWQiOiI0MzY2NDYyMTIifQ==</vt:lpwstr>
  </property>
</Properties>
</file>