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7A409">
      <w:pPr>
        <w:pageBreakBefore w:val="0"/>
        <w:kinsoku/>
        <w:overflowPunct/>
        <w:topLinePunct w:val="0"/>
        <w:bidi w:val="0"/>
        <w:spacing w:line="360" w:lineRule="auto"/>
        <w:ind w:right="0" w:rightChars="0"/>
        <w:jc w:val="center"/>
        <w:textAlignment w:val="auto"/>
        <w:outlineLvl w:val="2"/>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rPr>
        <w:t>技术</w:t>
      </w:r>
      <w:r>
        <w:rPr>
          <w:rFonts w:hint="eastAsia" w:asciiTheme="minorEastAsia" w:hAnsiTheme="minorEastAsia" w:eastAsiaTheme="minorEastAsia" w:cstheme="minorEastAsia"/>
          <w:b/>
          <w:color w:val="auto"/>
          <w:sz w:val="44"/>
          <w:szCs w:val="44"/>
          <w:highlight w:val="none"/>
          <w:lang w:val="en-US" w:eastAsia="zh-CN"/>
        </w:rPr>
        <w:t>参数</w:t>
      </w:r>
      <w:r>
        <w:rPr>
          <w:rFonts w:hint="eastAsia" w:asciiTheme="minorEastAsia" w:hAnsiTheme="minorEastAsia" w:eastAsiaTheme="minorEastAsia" w:cstheme="minorEastAsia"/>
          <w:b/>
          <w:color w:val="auto"/>
          <w:sz w:val="44"/>
          <w:szCs w:val="44"/>
          <w:highlight w:val="none"/>
        </w:rPr>
        <w:t>响应表</w:t>
      </w:r>
    </w:p>
    <w:p w14:paraId="4CDDA9C1">
      <w:pPr>
        <w:pageBreakBefore w:val="0"/>
        <w:kinsoku/>
        <w:overflowPunct/>
        <w:topLinePunct w:val="0"/>
        <w:bidi w:val="0"/>
        <w:spacing w:line="360" w:lineRule="auto"/>
        <w:ind w:right="0" w:rightChars="0"/>
        <w:jc w:val="left"/>
        <w:textAlignment w:val="auto"/>
        <w:outlineLvl w:val="2"/>
        <w:rPr>
          <w:rFonts w:hint="eastAsia" w:asciiTheme="minorEastAsia" w:hAnsiTheme="minorEastAsia" w:eastAsiaTheme="minorEastAsia" w:cstheme="minorEastAsia"/>
          <w:b/>
          <w:color w:val="auto"/>
          <w:sz w:val="24"/>
          <w:highlight w:val="none"/>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560"/>
        <w:gridCol w:w="2864"/>
        <w:gridCol w:w="2482"/>
        <w:gridCol w:w="857"/>
      </w:tblGrid>
      <w:tr w14:paraId="5801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5" w:type="pct"/>
            <w:vAlign w:val="center"/>
          </w:tcPr>
          <w:p w14:paraId="656A35C1">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序号</w:t>
            </w:r>
          </w:p>
        </w:tc>
        <w:tc>
          <w:tcPr>
            <w:tcW w:w="915" w:type="pct"/>
            <w:vAlign w:val="center"/>
          </w:tcPr>
          <w:p w14:paraId="37ABBDD5">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货物名称</w:t>
            </w:r>
          </w:p>
        </w:tc>
        <w:tc>
          <w:tcPr>
            <w:tcW w:w="1680" w:type="pct"/>
            <w:vAlign w:val="center"/>
          </w:tcPr>
          <w:p w14:paraId="3F3AF1FB">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招标文件规定的技术参数及要求</w:t>
            </w:r>
          </w:p>
        </w:tc>
        <w:tc>
          <w:tcPr>
            <w:tcW w:w="1456" w:type="pct"/>
            <w:vAlign w:val="center"/>
          </w:tcPr>
          <w:p w14:paraId="1E8A16C8">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所投产品的品牌、型号及技术参数</w:t>
            </w:r>
          </w:p>
        </w:tc>
        <w:tc>
          <w:tcPr>
            <w:tcW w:w="502" w:type="pct"/>
            <w:vAlign w:val="center"/>
          </w:tcPr>
          <w:p w14:paraId="2E0F4AEF">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偏离说明</w:t>
            </w:r>
          </w:p>
        </w:tc>
      </w:tr>
      <w:tr w14:paraId="0AB5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446153D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915" w:type="pct"/>
            <w:vMerge w:val="restart"/>
            <w:vAlign w:val="center"/>
          </w:tcPr>
          <w:p w14:paraId="0835840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b/>
                <w:bCs/>
                <w:sz w:val="24"/>
                <w:szCs w:val="24"/>
                <w:lang w:eastAsia="zh-CN"/>
              </w:rPr>
              <w:t>低速离心机主要技术性能</w:t>
            </w:r>
          </w:p>
        </w:tc>
        <w:tc>
          <w:tcPr>
            <w:tcW w:w="1680" w:type="pct"/>
            <w:vAlign w:val="center"/>
          </w:tcPr>
          <w:p w14:paraId="0FE5838D">
            <w:pPr>
              <w:numPr>
                <w:ilvl w:val="0"/>
                <w:numId w:val="0"/>
              </w:numPr>
              <w:jc w:val="center"/>
              <w:rPr>
                <w:rFonts w:hint="eastAsia" w:asciiTheme="minorEastAsia" w:hAnsiTheme="minorEastAsia" w:eastAsiaTheme="minorEastAsia" w:cstheme="minorEastAsia"/>
                <w:color w:val="auto"/>
                <w:sz w:val="24"/>
                <w:highlight w:val="none"/>
              </w:rPr>
            </w:pPr>
            <w:r>
              <w:rPr>
                <w:rFonts w:hint="eastAsia" w:ascii="宋体" w:hAnsi="宋体" w:eastAsia="宋体" w:cs="宋体"/>
                <w:i w:val="0"/>
                <w:color w:val="auto"/>
                <w:kern w:val="0"/>
                <w:sz w:val="24"/>
                <w:szCs w:val="24"/>
                <w:u w:val="none"/>
                <w:lang w:val="en-US" w:eastAsia="zh-CN" w:bidi="ar"/>
              </w:rPr>
              <w:t>最大相对离心力≥3</w:t>
            </w:r>
            <w:r>
              <w:rPr>
                <w:rFonts w:hint="eastAsia" w:ascii="宋体" w:hAnsi="宋体" w:cs="宋体"/>
                <w:i w:val="0"/>
                <w:color w:val="auto"/>
                <w:kern w:val="0"/>
                <w:sz w:val="24"/>
                <w:szCs w:val="24"/>
                <w:u w:val="none"/>
                <w:lang w:val="en-US" w:eastAsia="zh-CN" w:bidi="ar"/>
              </w:rPr>
              <w:t>617</w:t>
            </w:r>
            <w:r>
              <w:rPr>
                <w:rFonts w:hint="eastAsia" w:ascii="宋体" w:hAnsi="宋体" w:eastAsia="宋体" w:cs="宋体"/>
                <w:i w:val="0"/>
                <w:color w:val="auto"/>
                <w:kern w:val="0"/>
                <w:sz w:val="24"/>
                <w:szCs w:val="24"/>
                <w:u w:val="none"/>
                <w:lang w:val="en-US" w:eastAsia="zh-CN" w:bidi="ar"/>
              </w:rPr>
              <w:t xml:space="preserve">×g ，转子最大转速≥4000rpm </w:t>
            </w:r>
            <w:r>
              <w:rPr>
                <w:rFonts w:hint="eastAsia"/>
                <w:sz w:val="24"/>
                <w:szCs w:val="32"/>
              </w:rPr>
              <w:t>。</w:t>
            </w:r>
            <w:r>
              <w:rPr>
                <w:rFonts w:hint="eastAsia"/>
                <w:sz w:val="24"/>
                <w:szCs w:val="32"/>
                <w:lang w:val="en-US" w:eastAsia="zh-CN"/>
              </w:rPr>
              <w:t xml:space="preserve"> 定时范围：</w:t>
            </w:r>
            <w:r>
              <w:rPr>
                <w:rFonts w:hint="eastAsia" w:ascii="宋体" w:hAnsi="宋体" w:eastAsia="宋体" w:cs="宋体"/>
                <w:i w:val="0"/>
                <w:color w:val="auto"/>
                <w:kern w:val="0"/>
                <w:sz w:val="24"/>
                <w:szCs w:val="24"/>
                <w:u w:val="none"/>
                <w:lang w:val="en-US" w:eastAsia="zh-CN" w:bidi="ar"/>
              </w:rPr>
              <w:t>1</w:t>
            </w:r>
            <w:r>
              <w:rPr>
                <w:rFonts w:hint="eastAsia"/>
                <w:sz w:val="24"/>
                <w:szCs w:val="24"/>
              </w:rPr>
              <w:t>～</w:t>
            </w:r>
            <w:r>
              <w:rPr>
                <w:rFonts w:hint="eastAsia" w:ascii="宋体" w:hAnsi="宋体" w:cs="宋体"/>
                <w:i w:val="0"/>
                <w:color w:val="auto"/>
                <w:kern w:val="0"/>
                <w:sz w:val="24"/>
                <w:szCs w:val="24"/>
                <w:u w:val="none"/>
                <w:lang w:val="en-US" w:eastAsia="zh-CN" w:bidi="ar"/>
              </w:rPr>
              <w:t>9</w:t>
            </w:r>
            <w:r>
              <w:rPr>
                <w:rFonts w:hint="eastAsia" w:ascii="宋体" w:hAnsi="宋体" w:eastAsia="宋体" w:cs="宋体"/>
                <w:i w:val="0"/>
                <w:color w:val="auto"/>
                <w:kern w:val="0"/>
                <w:sz w:val="24"/>
                <w:szCs w:val="24"/>
                <w:u w:val="none"/>
                <w:lang w:val="en-US" w:eastAsia="zh-CN" w:bidi="ar"/>
              </w:rPr>
              <w:t>9min</w:t>
            </w:r>
            <w:r>
              <w:rPr>
                <w:rFonts w:hint="eastAsia" w:ascii="宋体" w:hAnsi="宋体" w:cs="宋体"/>
                <w:i w:val="0"/>
                <w:color w:val="auto"/>
                <w:kern w:val="0"/>
                <w:sz w:val="24"/>
                <w:szCs w:val="24"/>
                <w:u w:val="none"/>
                <w:lang w:val="en-US" w:eastAsia="zh-CN" w:bidi="ar"/>
              </w:rPr>
              <w:t xml:space="preserve">59s   </w:t>
            </w:r>
            <w:r>
              <w:rPr>
                <w:rFonts w:hint="eastAsia" w:ascii="宋体" w:hAnsi="宋体" w:eastAsia="宋体" w:cs="宋体"/>
                <w:i w:val="0"/>
                <w:color w:val="auto"/>
                <w:kern w:val="0"/>
                <w:sz w:val="24"/>
                <w:szCs w:val="24"/>
                <w:u w:val="none"/>
                <w:lang w:val="en-US" w:eastAsia="zh-CN" w:bidi="ar"/>
              </w:rPr>
              <w:t>转速控制精度：</w:t>
            </w:r>
            <w:r>
              <w:rPr>
                <w:rFonts w:hint="eastAsia" w:ascii="宋体" w:hAnsi="宋体" w:cs="宋体"/>
                <w:i w:val="0"/>
                <w:color w:val="auto"/>
                <w:kern w:val="0"/>
                <w:sz w:val="24"/>
                <w:szCs w:val="24"/>
                <w:u w:val="none"/>
                <w:lang w:val="en-US" w:eastAsia="zh-CN" w:bidi="ar"/>
              </w:rPr>
              <w:t xml:space="preserve"> </w:t>
            </w:r>
            <w:r>
              <w:rPr>
                <w:rFonts w:hint="eastAsia" w:ascii="宋体" w:hAnsi="宋体" w:eastAsia="宋体" w:cs="宋体"/>
                <w:i w:val="0"/>
                <w:color w:val="auto"/>
                <w:kern w:val="0"/>
                <w:sz w:val="24"/>
                <w:szCs w:val="24"/>
                <w:u w:val="none"/>
                <w:lang w:val="en-US" w:eastAsia="zh-CN" w:bidi="ar"/>
              </w:rPr>
              <w:t>±</w:t>
            </w:r>
            <w:r>
              <w:rPr>
                <w:rStyle w:val="7"/>
                <w:rFonts w:hint="eastAsia"/>
                <w:sz w:val="24"/>
                <w:szCs w:val="24"/>
                <w:lang w:val="en-US" w:eastAsia="zh-CN" w:bidi="ar"/>
              </w:rPr>
              <w:t>1</w:t>
            </w:r>
            <w:r>
              <w:rPr>
                <w:rStyle w:val="7"/>
                <w:rFonts w:eastAsia="宋体"/>
                <w:sz w:val="24"/>
                <w:szCs w:val="24"/>
                <w:lang w:val="en-US" w:eastAsia="zh-CN" w:bidi="ar"/>
              </w:rPr>
              <w:t>0rpm</w:t>
            </w:r>
            <w:r>
              <w:rPr>
                <w:rStyle w:val="7"/>
                <w:rFonts w:hint="eastAsia" w:eastAsia="宋体"/>
                <w:sz w:val="24"/>
                <w:szCs w:val="24"/>
                <w:lang w:val="en-US" w:eastAsia="zh-CN" w:bidi="ar"/>
              </w:rPr>
              <w:t>。</w:t>
            </w:r>
          </w:p>
        </w:tc>
        <w:tc>
          <w:tcPr>
            <w:tcW w:w="1456" w:type="pct"/>
            <w:vAlign w:val="center"/>
          </w:tcPr>
          <w:p w14:paraId="1BC9757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4CFB27E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0E79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3EF7818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915" w:type="pct"/>
            <w:vMerge w:val="continue"/>
            <w:tcBorders/>
            <w:vAlign w:val="center"/>
          </w:tcPr>
          <w:p w14:paraId="7C0AC9D0">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306B22BF">
            <w:pPr>
              <w:numPr>
                <w:ilvl w:val="0"/>
                <w:numId w:val="0"/>
              </w:numPr>
              <w:jc w:val="center"/>
              <w:rPr>
                <w:rFonts w:hint="eastAsia" w:asciiTheme="minorEastAsia" w:hAnsiTheme="minorEastAsia" w:eastAsiaTheme="minorEastAsia" w:cstheme="minorEastAsia"/>
                <w:color w:val="auto"/>
                <w:sz w:val="24"/>
                <w:highlight w:val="none"/>
              </w:rPr>
            </w:pPr>
            <w:r>
              <w:rPr>
                <w:rFonts w:hint="eastAsia" w:ascii="宋体" w:hAnsi="宋体" w:eastAsia="宋体" w:cs="宋体"/>
                <w:i w:val="0"/>
                <w:color w:val="auto"/>
                <w:kern w:val="0"/>
                <w:sz w:val="24"/>
                <w:szCs w:val="24"/>
                <w:u w:val="none"/>
                <w:lang w:val="en-US" w:eastAsia="zh-CN" w:bidi="ar"/>
              </w:rPr>
              <w:t>最高转速</w:t>
            </w:r>
            <w:r>
              <w:rPr>
                <w:rFonts w:hint="eastAsia" w:ascii="宋体" w:hAnsi="宋体" w:cs="宋体"/>
                <w:i w:val="0"/>
                <w:color w:val="auto"/>
                <w:kern w:val="0"/>
                <w:sz w:val="24"/>
                <w:szCs w:val="24"/>
                <w:u w:val="none"/>
                <w:lang w:val="en-US" w:eastAsia="zh-CN" w:bidi="ar"/>
              </w:rPr>
              <w:t>4</w:t>
            </w:r>
            <w:r>
              <w:rPr>
                <w:rFonts w:hint="eastAsia" w:ascii="宋体" w:hAnsi="宋体" w:eastAsia="宋体" w:cs="宋体"/>
                <w:i w:val="0"/>
                <w:color w:val="auto"/>
                <w:kern w:val="0"/>
                <w:sz w:val="24"/>
                <w:szCs w:val="24"/>
                <w:u w:val="none"/>
                <w:lang w:val="en-US" w:eastAsia="zh-CN" w:bidi="ar"/>
              </w:rPr>
              <w:t>000r/min，</w:t>
            </w:r>
            <w:r>
              <w:rPr>
                <w:rFonts w:hint="eastAsia"/>
                <w:sz w:val="24"/>
                <w:szCs w:val="32"/>
              </w:rPr>
              <w:t>升/降速时间短</w:t>
            </w:r>
            <w:r>
              <w:rPr>
                <w:rFonts w:hint="eastAsia"/>
                <w:sz w:val="24"/>
                <w:szCs w:val="32"/>
                <w:lang w:eastAsia="zh-CN"/>
              </w:rPr>
              <w:t>≤</w:t>
            </w:r>
            <w:r>
              <w:rPr>
                <w:rFonts w:hint="eastAsia"/>
                <w:sz w:val="24"/>
                <w:szCs w:val="32"/>
              </w:rPr>
              <w:t>30S ，具有1至10档升/降速。</w:t>
            </w:r>
            <w:r>
              <w:rPr>
                <w:rFonts w:hint="eastAsia" w:ascii="宋体" w:hAnsi="宋体" w:eastAsia="宋体" w:cs="宋体"/>
                <w:i w:val="0"/>
                <w:color w:val="auto"/>
                <w:kern w:val="0"/>
                <w:sz w:val="24"/>
                <w:szCs w:val="24"/>
                <w:u w:val="none"/>
                <w:lang w:val="en-US" w:eastAsia="zh-CN" w:bidi="ar"/>
              </w:rPr>
              <w:t>整机噪音＜</w:t>
            </w:r>
            <w:r>
              <w:rPr>
                <w:rStyle w:val="7"/>
                <w:rFonts w:eastAsia="宋体"/>
                <w:sz w:val="24"/>
                <w:szCs w:val="24"/>
                <w:lang w:val="en-US" w:eastAsia="zh-CN" w:bidi="ar"/>
              </w:rPr>
              <w:t>5</w:t>
            </w:r>
            <w:r>
              <w:rPr>
                <w:rStyle w:val="7"/>
                <w:rFonts w:hint="eastAsia"/>
                <w:sz w:val="24"/>
                <w:szCs w:val="24"/>
                <w:lang w:val="en-US" w:eastAsia="zh-CN" w:bidi="ar"/>
              </w:rPr>
              <w:t>8</w:t>
            </w:r>
            <w:r>
              <w:rPr>
                <w:rStyle w:val="7"/>
                <w:rFonts w:eastAsia="宋体"/>
                <w:sz w:val="24"/>
                <w:szCs w:val="24"/>
                <w:lang w:val="en-US" w:eastAsia="zh-CN" w:bidi="ar"/>
              </w:rPr>
              <w:t>dB</w:t>
            </w:r>
            <w:r>
              <w:rPr>
                <w:rStyle w:val="7"/>
                <w:rFonts w:hint="eastAsia" w:eastAsia="宋体"/>
                <w:sz w:val="24"/>
                <w:szCs w:val="24"/>
                <w:lang w:val="en-US" w:eastAsia="zh-CN" w:bidi="ar"/>
              </w:rPr>
              <w:t>。</w:t>
            </w:r>
          </w:p>
        </w:tc>
        <w:tc>
          <w:tcPr>
            <w:tcW w:w="1456" w:type="pct"/>
            <w:vAlign w:val="center"/>
          </w:tcPr>
          <w:p w14:paraId="7F92FD9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5A0BBCE7">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218E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187DF19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915" w:type="pct"/>
            <w:vMerge w:val="continue"/>
            <w:tcBorders/>
            <w:vAlign w:val="center"/>
          </w:tcPr>
          <w:p w14:paraId="4BE6BCB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6B2E3BF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sz w:val="24"/>
                <w:szCs w:val="32"/>
              </w:rPr>
              <w:t>安全电子门锁/手动应急开门装置，在断电情况下也可取出实验样品。具有空气过滤装置。</w:t>
            </w:r>
          </w:p>
        </w:tc>
        <w:tc>
          <w:tcPr>
            <w:tcW w:w="1456" w:type="pct"/>
            <w:vAlign w:val="center"/>
          </w:tcPr>
          <w:p w14:paraId="704D7789">
            <w:pPr>
              <w:pStyle w:val="6"/>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502" w:type="pct"/>
            <w:vAlign w:val="center"/>
          </w:tcPr>
          <w:p w14:paraId="367646F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4865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D2B992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p>
        </w:tc>
        <w:tc>
          <w:tcPr>
            <w:tcW w:w="915" w:type="pct"/>
            <w:vMerge w:val="continue"/>
            <w:tcBorders/>
            <w:vAlign w:val="center"/>
          </w:tcPr>
          <w:p w14:paraId="3A19A5A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0CB6FD4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sz w:val="24"/>
                <w:szCs w:val="32"/>
              </w:rPr>
              <w:t>自动脱帽</w:t>
            </w:r>
            <w:r>
              <w:rPr>
                <w:rFonts w:hint="eastAsia"/>
                <w:sz w:val="24"/>
                <w:szCs w:val="32"/>
                <w:lang w:eastAsia="zh-CN"/>
              </w:rPr>
              <w:t>功能</w:t>
            </w:r>
            <w:r>
              <w:rPr>
                <w:rFonts w:hint="eastAsia"/>
                <w:sz w:val="24"/>
                <w:szCs w:val="32"/>
              </w:rPr>
              <w:t>，脱帽率100%</w:t>
            </w:r>
            <w:r>
              <w:rPr>
                <w:rFonts w:hint="eastAsia"/>
                <w:sz w:val="24"/>
                <w:szCs w:val="32"/>
                <w:lang w:eastAsia="zh-CN"/>
              </w:rPr>
              <w:t>，</w:t>
            </w:r>
            <w:r>
              <w:rPr>
                <w:rFonts w:hint="eastAsia"/>
                <w:sz w:val="24"/>
                <w:szCs w:val="32"/>
              </w:rPr>
              <w:t>安全脱帽装置预防交叉感染</w:t>
            </w:r>
            <w:r>
              <w:rPr>
                <w:rFonts w:hint="eastAsia"/>
                <w:sz w:val="24"/>
                <w:szCs w:val="32"/>
                <w:lang w:eastAsia="zh-CN"/>
              </w:rPr>
              <w:t>。</w:t>
            </w:r>
          </w:p>
        </w:tc>
        <w:tc>
          <w:tcPr>
            <w:tcW w:w="1456" w:type="pct"/>
            <w:vAlign w:val="center"/>
          </w:tcPr>
          <w:p w14:paraId="1A4B7EF0">
            <w:pPr>
              <w:pStyle w:val="6"/>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502" w:type="pct"/>
            <w:vAlign w:val="center"/>
          </w:tcPr>
          <w:p w14:paraId="22B5623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00B6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9B2C5C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5</w:t>
            </w:r>
          </w:p>
        </w:tc>
        <w:tc>
          <w:tcPr>
            <w:tcW w:w="915" w:type="pct"/>
            <w:vMerge w:val="continue"/>
            <w:tcBorders/>
            <w:vAlign w:val="center"/>
          </w:tcPr>
          <w:p w14:paraId="2B70F5B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2EEC23D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sz w:val="24"/>
                <w:szCs w:val="32"/>
              </w:rPr>
              <w:t>大屏幕LCD液晶显示，转速，离心力，运行时间，故障显示。</w:t>
            </w:r>
          </w:p>
        </w:tc>
        <w:tc>
          <w:tcPr>
            <w:tcW w:w="1456" w:type="pct"/>
            <w:vAlign w:val="center"/>
          </w:tcPr>
          <w:p w14:paraId="648418B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2CAA47B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2D3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608A9F0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6</w:t>
            </w:r>
          </w:p>
        </w:tc>
        <w:tc>
          <w:tcPr>
            <w:tcW w:w="915" w:type="pct"/>
            <w:vMerge w:val="continue"/>
            <w:tcBorders/>
            <w:vAlign w:val="center"/>
          </w:tcPr>
          <w:p w14:paraId="263722A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19748F0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sz w:val="24"/>
                <w:szCs w:val="32"/>
              </w:rPr>
              <w:t>触控按键面板，可编程操作，转速离心力自动转换，操作简单。自带程序组存储功能，方便多组工作人员同时使用。</w:t>
            </w:r>
          </w:p>
        </w:tc>
        <w:tc>
          <w:tcPr>
            <w:tcW w:w="1456" w:type="pct"/>
            <w:vAlign w:val="center"/>
          </w:tcPr>
          <w:p w14:paraId="2D3E901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13A7F96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34C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5B5A0AD2">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7</w:t>
            </w:r>
          </w:p>
        </w:tc>
        <w:tc>
          <w:tcPr>
            <w:tcW w:w="915" w:type="pct"/>
            <w:vMerge w:val="continue"/>
            <w:tcBorders/>
            <w:vAlign w:val="center"/>
          </w:tcPr>
          <w:p w14:paraId="6CAD516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1579280B">
            <w:pPr>
              <w:pageBreakBefore w:val="0"/>
              <w:kinsoku/>
              <w:overflowPunct/>
              <w:topLinePunct w:val="0"/>
              <w:bidi w:val="0"/>
              <w:spacing w:line="360" w:lineRule="auto"/>
              <w:ind w:left="0" w:leftChars="0" w:right="0" w:rightChars="0"/>
              <w:jc w:val="center"/>
              <w:textAlignment w:val="auto"/>
              <w:rPr>
                <w:rFonts w:hint="eastAsia"/>
                <w:sz w:val="24"/>
                <w:szCs w:val="32"/>
              </w:rPr>
            </w:pPr>
            <w:r>
              <w:rPr>
                <w:rFonts w:hint="eastAsia"/>
                <w:sz w:val="24"/>
                <w:szCs w:val="32"/>
              </w:rPr>
              <w:t>软刹车功能</w:t>
            </w:r>
            <w:r>
              <w:rPr>
                <w:rFonts w:hint="eastAsia"/>
                <w:sz w:val="24"/>
                <w:szCs w:val="32"/>
                <w:lang w:eastAsia="zh-CN"/>
              </w:rPr>
              <w:t>，</w:t>
            </w:r>
            <w:r>
              <w:rPr>
                <w:rFonts w:hint="eastAsia"/>
                <w:sz w:val="24"/>
                <w:szCs w:val="32"/>
              </w:rPr>
              <w:t>转速、离心力任意切换，设置离心力，RCF直接启动。</w:t>
            </w:r>
          </w:p>
        </w:tc>
        <w:tc>
          <w:tcPr>
            <w:tcW w:w="1456" w:type="pct"/>
            <w:vAlign w:val="center"/>
          </w:tcPr>
          <w:p w14:paraId="707F9FB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1C35DAE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920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12376496">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8</w:t>
            </w:r>
          </w:p>
        </w:tc>
        <w:tc>
          <w:tcPr>
            <w:tcW w:w="915" w:type="pct"/>
            <w:vMerge w:val="continue"/>
            <w:tcBorders/>
            <w:vAlign w:val="center"/>
          </w:tcPr>
          <w:p w14:paraId="192E02F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53195853">
            <w:pPr>
              <w:pageBreakBefore w:val="0"/>
              <w:kinsoku/>
              <w:overflowPunct/>
              <w:topLinePunct w:val="0"/>
              <w:bidi w:val="0"/>
              <w:spacing w:line="360" w:lineRule="auto"/>
              <w:ind w:left="0" w:leftChars="0" w:right="0" w:rightChars="0"/>
              <w:jc w:val="center"/>
              <w:textAlignment w:val="auto"/>
              <w:rPr>
                <w:rFonts w:hint="eastAsia"/>
                <w:sz w:val="24"/>
                <w:szCs w:val="32"/>
              </w:rPr>
            </w:pPr>
            <w:r>
              <w:rPr>
                <w:rFonts w:hint="eastAsia"/>
                <w:sz w:val="24"/>
                <w:szCs w:val="32"/>
              </w:rPr>
              <w:t>微机控制，交流变频电机，超速和不平衡检测保护。运行中可设置和修改参数。</w:t>
            </w:r>
          </w:p>
        </w:tc>
        <w:tc>
          <w:tcPr>
            <w:tcW w:w="1456" w:type="pct"/>
            <w:vAlign w:val="center"/>
          </w:tcPr>
          <w:p w14:paraId="15DE4CD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4BFA6AE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04B28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64B05AEE">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9</w:t>
            </w:r>
          </w:p>
        </w:tc>
        <w:tc>
          <w:tcPr>
            <w:tcW w:w="915" w:type="pct"/>
            <w:vMerge w:val="restart"/>
            <w:tcBorders/>
            <w:vAlign w:val="center"/>
          </w:tcPr>
          <w:p w14:paraId="52C9CD1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b/>
                <w:bCs/>
                <w:sz w:val="24"/>
                <w:szCs w:val="24"/>
                <w:lang w:val="en-US" w:eastAsia="zh-CN"/>
              </w:rPr>
              <w:t>转子参数</w:t>
            </w:r>
          </w:p>
        </w:tc>
        <w:tc>
          <w:tcPr>
            <w:tcW w:w="1680" w:type="pct"/>
            <w:vAlign w:val="center"/>
          </w:tcPr>
          <w:p w14:paraId="76858C4D">
            <w:pPr>
              <w:pageBreakBefore w:val="0"/>
              <w:kinsoku/>
              <w:overflowPunct/>
              <w:topLinePunct w:val="0"/>
              <w:bidi w:val="0"/>
              <w:spacing w:line="360" w:lineRule="auto"/>
              <w:ind w:left="0" w:leftChars="0" w:right="0" w:rightChars="0"/>
              <w:jc w:val="center"/>
              <w:textAlignment w:val="auto"/>
              <w:rPr>
                <w:rFonts w:hint="default"/>
                <w:sz w:val="24"/>
                <w:szCs w:val="32"/>
                <w:lang w:val="en-US" w:eastAsia="zh-CN"/>
              </w:rPr>
            </w:pPr>
            <w:r>
              <w:rPr>
                <w:rFonts w:hint="eastAsia"/>
                <w:sz w:val="24"/>
                <w:szCs w:val="32"/>
              </w:rPr>
              <w:t>转子型号</w:t>
            </w:r>
            <w:r>
              <w:rPr>
                <w:rFonts w:hint="eastAsia"/>
                <w:sz w:val="24"/>
                <w:szCs w:val="32"/>
                <w:lang w:eastAsia="zh-CN"/>
              </w:rPr>
              <w:t>：</w:t>
            </w:r>
            <w:r>
              <w:rPr>
                <w:rFonts w:hint="eastAsia"/>
                <w:sz w:val="24"/>
                <w:szCs w:val="32"/>
                <w:lang w:val="en-US" w:eastAsia="zh-CN"/>
              </w:rPr>
              <w:t>脱帽水平转子</w:t>
            </w:r>
          </w:p>
        </w:tc>
        <w:tc>
          <w:tcPr>
            <w:tcW w:w="1456" w:type="pct"/>
            <w:vAlign w:val="center"/>
          </w:tcPr>
          <w:p w14:paraId="3B36F93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69343F0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7A24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29D18F9D">
            <w:pPr>
              <w:pageBreakBefore w:val="0"/>
              <w:kinsoku/>
              <w:overflowPunct/>
              <w:topLinePunct w:val="0"/>
              <w:bidi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10</w:t>
            </w:r>
          </w:p>
        </w:tc>
        <w:tc>
          <w:tcPr>
            <w:tcW w:w="915" w:type="pct"/>
            <w:vMerge w:val="continue"/>
            <w:tcBorders/>
            <w:vAlign w:val="center"/>
          </w:tcPr>
          <w:p w14:paraId="748C191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1BDCAA19">
            <w:pPr>
              <w:pageBreakBefore w:val="0"/>
              <w:kinsoku/>
              <w:overflowPunct/>
              <w:topLinePunct w:val="0"/>
              <w:bidi w:val="0"/>
              <w:spacing w:line="360" w:lineRule="auto"/>
              <w:ind w:left="0" w:leftChars="0" w:right="0" w:rightChars="0"/>
              <w:jc w:val="center"/>
              <w:textAlignment w:val="auto"/>
              <w:rPr>
                <w:rFonts w:hint="eastAsia"/>
                <w:sz w:val="24"/>
                <w:szCs w:val="32"/>
                <w:lang w:val="en-US" w:eastAsia="zh-CN"/>
              </w:rPr>
            </w:pPr>
            <w:r>
              <w:rPr>
                <w:rFonts w:hint="eastAsia"/>
                <w:sz w:val="24"/>
                <w:szCs w:val="32"/>
              </w:rPr>
              <w:t>最大容量</w:t>
            </w:r>
            <w:r>
              <w:rPr>
                <w:rFonts w:hint="eastAsia"/>
                <w:sz w:val="24"/>
                <w:szCs w:val="32"/>
                <w:lang w:eastAsia="zh-CN"/>
              </w:rPr>
              <w:t>：</w:t>
            </w:r>
            <w:r>
              <w:rPr>
                <w:rFonts w:hint="eastAsia"/>
                <w:sz w:val="24"/>
                <w:szCs w:val="32"/>
                <w:lang w:val="en-US" w:eastAsia="zh-CN"/>
              </w:rPr>
              <w:t>96×5ml</w:t>
            </w:r>
          </w:p>
          <w:p w14:paraId="701E2873">
            <w:pPr>
              <w:pageBreakBefore w:val="0"/>
              <w:kinsoku/>
              <w:overflowPunct/>
              <w:topLinePunct w:val="0"/>
              <w:bidi w:val="0"/>
              <w:spacing w:line="360" w:lineRule="auto"/>
              <w:ind w:left="0" w:leftChars="0" w:right="0" w:rightChars="0"/>
              <w:jc w:val="center"/>
              <w:textAlignment w:val="auto"/>
              <w:rPr>
                <w:rFonts w:hint="eastAsia"/>
                <w:sz w:val="24"/>
                <w:szCs w:val="32"/>
                <w:lang w:eastAsia="zh-CN"/>
              </w:rPr>
            </w:pPr>
            <w:r>
              <w:rPr>
                <w:rFonts w:hint="eastAsia"/>
                <w:sz w:val="24"/>
                <w:szCs w:val="32"/>
                <w:lang w:val="en-US" w:eastAsia="zh-CN"/>
              </w:rPr>
              <w:t>采血管规格5ml:Ф13×100mm(L)</w:t>
            </w:r>
          </w:p>
        </w:tc>
        <w:tc>
          <w:tcPr>
            <w:tcW w:w="1456" w:type="pct"/>
            <w:vAlign w:val="center"/>
          </w:tcPr>
          <w:p w14:paraId="05E3F8A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bookmarkStart w:id="0" w:name="_GoBack"/>
            <w:bookmarkEnd w:id="0"/>
          </w:p>
        </w:tc>
        <w:tc>
          <w:tcPr>
            <w:tcW w:w="502" w:type="pct"/>
            <w:vAlign w:val="center"/>
          </w:tcPr>
          <w:p w14:paraId="442D673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bl>
    <w:p w14:paraId="4690BE1B">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投标人电子签章：</w:t>
      </w:r>
      <w:r>
        <w:rPr>
          <w:rFonts w:hint="eastAsia" w:asciiTheme="minorEastAsia" w:hAnsiTheme="minorEastAsia" w:eastAsiaTheme="minorEastAsia" w:cstheme="minorEastAsia"/>
          <w:color w:val="auto"/>
          <w:sz w:val="24"/>
          <w:highlight w:val="none"/>
          <w:u w:val="single"/>
        </w:rPr>
        <w:t xml:space="preserve">             </w:t>
      </w:r>
    </w:p>
    <w:p w14:paraId="15B11012">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5274B668">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p>
    <w:p w14:paraId="1E28942B">
      <w:pPr>
        <w:pStyle w:val="3"/>
        <w:pageBreakBefore w:val="0"/>
        <w:kinsoku/>
        <w:overflowPunct/>
        <w:topLinePunct w:val="0"/>
        <w:bidi w:val="0"/>
        <w:spacing w:line="360" w:lineRule="auto"/>
        <w:ind w:left="0" w:leftChars="0" w:right="0" w:rightChars="0" w:firstLineChars="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lang w:val="en-US" w:eastAsia="zh-CN"/>
        </w:rPr>
        <w:t>注：投标人应对所承诺的各类参数真实性负责，如中标后被质疑虚假应标且被查实的或在履约过程中被发现虚假响应的，投标人将承担包括但不限于扣除履约保证金（如有）、处以罚金和上报相关主管部门纳入不良信用记录等一切后果及法律责任。</w:t>
      </w:r>
    </w:p>
    <w:p w14:paraId="38FD287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36758C"/>
    <w:rsid w:val="1CBB55FC"/>
    <w:rsid w:val="24367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eastAsiaTheme="minorEastAsia" w:cstheme="minorBidi"/>
      <w:szCs w:val="22"/>
    </w:rPr>
  </w:style>
  <w:style w:type="paragraph" w:styleId="3">
    <w:name w:val="Date"/>
    <w:basedOn w:val="1"/>
    <w:next w:val="1"/>
    <w:qFormat/>
    <w:uiPriority w:val="0"/>
    <w:rPr>
      <w:rFonts w:ascii="Arial" w:hAnsi="Arial" w:eastAsia="宋体" w:cs="Arial"/>
      <w:b/>
      <w:sz w:val="28"/>
    </w:rPr>
  </w:style>
  <w:style w:type="paragraph" w:customStyle="1" w:styleId="6">
    <w:name w:val="Char Char Char Char Char Char Char1 Char"/>
    <w:basedOn w:val="1"/>
    <w:qFormat/>
    <w:uiPriority w:val="0"/>
    <w:rPr>
      <w:rFonts w:ascii="Arial" w:hAnsi="Arial" w:eastAsia="宋体" w:cs="Arial"/>
      <w:sz w:val="24"/>
    </w:rPr>
  </w:style>
  <w:style w:type="character" w:customStyle="1" w:styleId="7">
    <w:name w:val="font51"/>
    <w:basedOn w:val="5"/>
    <w:qFormat/>
    <w:uiPriority w:val="0"/>
    <w:rPr>
      <w:rFonts w:hint="default" w:ascii="Times New Roman" w:hAnsi="Times New Roman" w:cs="Times New Roman"/>
      <w:color w:val="auto"/>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171</Words>
  <Characters>171</Characters>
  <Lines>0</Lines>
  <Paragraphs>0</Paragraphs>
  <TotalTime>0</TotalTime>
  <ScaleCrop>false</ScaleCrop>
  <LinksUpToDate>false</LinksUpToDate>
  <CharactersWithSpaces>207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2026-05-27T06:39:00Z</dcterms:created>
  <dc:creator>♚fùdōng( •ิ_• ิ)</dc:creator>
  <cp:lastModifiedBy>微信用户</cp:lastModifiedBy>
  <dcterms:modified xsi:type="dcterms:W3CDTF">2026-07-13T01:51:48Z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5E8029C208BB4696942D3BE1571CD03E_11</vt:lpwstr>
  </property>
  <property fmtid="{D5CDD505-2E9C-101B-9397-08002B2CF9AE}" pid="4" name="KSOTemplateDocerSaveRecord">
    <vt:lpwstr>eyJoZGlkIjoiMGRjYjVhODJmODM0NzY5N2VmOTUyYjU5ZmE3MmY1MzUiLCJ1c2VySWQiOiIxMjY0MzIwNjcwIn0=</vt:lpwstr>
  </property>
</Properties>
</file>