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7A409">
      <w:pPr>
        <w:pageBreakBefore w:val="0"/>
        <w:kinsoku/>
        <w:overflowPunct/>
        <w:topLinePunct w:val="0"/>
        <w:bidi w:val="0"/>
        <w:spacing w:line="360" w:lineRule="auto"/>
        <w:ind w:right="0" w:rightChars="0"/>
        <w:jc w:val="center"/>
        <w:textAlignment w:val="auto"/>
        <w:outlineLvl w:val="2"/>
        <w:rPr>
          <w:rFonts w:hint="eastAsia" w:asciiTheme="minorEastAsia" w:hAnsiTheme="minorEastAsia" w:eastAsiaTheme="minorEastAsia" w:cstheme="minorEastAsia"/>
          <w:b/>
          <w:color w:val="auto"/>
          <w:sz w:val="44"/>
          <w:szCs w:val="44"/>
          <w:highlight w:val="none"/>
        </w:rPr>
      </w:pPr>
      <w:r>
        <w:rPr>
          <w:rFonts w:hint="eastAsia" w:asciiTheme="minorEastAsia" w:hAnsiTheme="minorEastAsia" w:eastAsiaTheme="minorEastAsia" w:cstheme="minorEastAsia"/>
          <w:b/>
          <w:color w:val="auto"/>
          <w:sz w:val="44"/>
          <w:szCs w:val="44"/>
          <w:highlight w:val="none"/>
        </w:rPr>
        <w:t>技术</w:t>
      </w:r>
      <w:r>
        <w:rPr>
          <w:rFonts w:hint="eastAsia" w:asciiTheme="minorEastAsia" w:hAnsiTheme="minorEastAsia" w:eastAsiaTheme="minorEastAsia" w:cstheme="minorEastAsia"/>
          <w:b/>
          <w:color w:val="auto"/>
          <w:sz w:val="44"/>
          <w:szCs w:val="44"/>
          <w:highlight w:val="none"/>
          <w:lang w:val="en-US" w:eastAsia="zh-CN"/>
        </w:rPr>
        <w:t>参数</w:t>
      </w:r>
      <w:r>
        <w:rPr>
          <w:rFonts w:hint="eastAsia" w:asciiTheme="minorEastAsia" w:hAnsiTheme="minorEastAsia" w:eastAsiaTheme="minorEastAsia" w:cstheme="minorEastAsia"/>
          <w:b/>
          <w:color w:val="auto"/>
          <w:sz w:val="44"/>
          <w:szCs w:val="44"/>
          <w:highlight w:val="none"/>
        </w:rPr>
        <w:t>响应表</w:t>
      </w:r>
    </w:p>
    <w:p w14:paraId="4CDDA9C1">
      <w:pPr>
        <w:pageBreakBefore w:val="0"/>
        <w:kinsoku/>
        <w:overflowPunct/>
        <w:topLinePunct w:val="0"/>
        <w:bidi w:val="0"/>
        <w:spacing w:line="360" w:lineRule="auto"/>
        <w:ind w:right="0" w:rightChars="0"/>
        <w:jc w:val="left"/>
        <w:textAlignment w:val="auto"/>
        <w:outlineLvl w:val="2"/>
        <w:rPr>
          <w:rFonts w:hint="eastAsia" w:asciiTheme="minorEastAsia" w:hAnsiTheme="minorEastAsia" w:eastAsiaTheme="minorEastAsia" w:cstheme="minorEastAsia"/>
          <w:b/>
          <w:color w:val="auto"/>
          <w:sz w:val="24"/>
          <w:highlight w:val="none"/>
        </w:rPr>
      </w:pP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560"/>
        <w:gridCol w:w="2864"/>
        <w:gridCol w:w="2482"/>
        <w:gridCol w:w="857"/>
      </w:tblGrid>
      <w:tr w14:paraId="58011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5" w:type="pct"/>
            <w:vAlign w:val="center"/>
          </w:tcPr>
          <w:p w14:paraId="656A35C1">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序号</w:t>
            </w:r>
          </w:p>
        </w:tc>
        <w:tc>
          <w:tcPr>
            <w:tcW w:w="915" w:type="pct"/>
            <w:vAlign w:val="center"/>
          </w:tcPr>
          <w:p w14:paraId="37ABBDD5">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bCs/>
                <w:color w:val="auto"/>
                <w:sz w:val="24"/>
                <w:szCs w:val="24"/>
                <w:highlight w:val="none"/>
              </w:rPr>
              <w:t>货物名称</w:t>
            </w:r>
          </w:p>
        </w:tc>
        <w:tc>
          <w:tcPr>
            <w:tcW w:w="1680" w:type="pct"/>
            <w:vAlign w:val="center"/>
          </w:tcPr>
          <w:p w14:paraId="3F3AF1FB">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招标文件规定的技术参数及要求</w:t>
            </w:r>
          </w:p>
        </w:tc>
        <w:tc>
          <w:tcPr>
            <w:tcW w:w="1456" w:type="pct"/>
            <w:vAlign w:val="center"/>
          </w:tcPr>
          <w:p w14:paraId="1E8A16C8">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所投产品的品牌、型号及技术参数</w:t>
            </w:r>
          </w:p>
        </w:tc>
        <w:tc>
          <w:tcPr>
            <w:tcW w:w="502" w:type="pct"/>
            <w:vAlign w:val="center"/>
          </w:tcPr>
          <w:p w14:paraId="2E0F4AEF">
            <w:pPr>
              <w:pStyle w:val="2"/>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偏离说明</w:t>
            </w:r>
          </w:p>
        </w:tc>
      </w:tr>
      <w:tr w14:paraId="0AB5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446153D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bookmarkStart w:id="0" w:name="_GoBack" w:colFirst="2" w:colLast="2"/>
            <w:r>
              <w:rPr>
                <w:rFonts w:hint="eastAsia" w:asciiTheme="minorEastAsia" w:hAnsiTheme="minorEastAsia" w:eastAsiaTheme="minorEastAsia" w:cstheme="minorEastAsia"/>
                <w:color w:val="auto"/>
                <w:sz w:val="24"/>
                <w:highlight w:val="none"/>
              </w:rPr>
              <w:t>1</w:t>
            </w:r>
          </w:p>
        </w:tc>
        <w:tc>
          <w:tcPr>
            <w:tcW w:w="915" w:type="pct"/>
            <w:vMerge w:val="restart"/>
            <w:vAlign w:val="center"/>
          </w:tcPr>
          <w:p w14:paraId="083584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b/>
                <w:bCs/>
                <w:sz w:val="32"/>
                <w:szCs w:val="32"/>
                <w:lang w:eastAsia="zh-CN"/>
              </w:rPr>
              <w:t>主机参数</w:t>
            </w:r>
          </w:p>
        </w:tc>
        <w:tc>
          <w:tcPr>
            <w:tcW w:w="1680" w:type="pct"/>
            <w:vAlign w:val="center"/>
          </w:tcPr>
          <w:p w14:paraId="25C3266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1"/>
                <w:szCs w:val="16"/>
                <w:highlight w:val="none"/>
              </w:rPr>
            </w:pPr>
            <w:r>
              <w:rPr>
                <w:rFonts w:hint="eastAsia" w:ascii="宋体" w:hAnsi="宋体" w:eastAsia="宋体" w:cs="宋体"/>
                <w:sz w:val="21"/>
                <w:szCs w:val="21"/>
              </w:rPr>
              <w:t>近视</w:t>
            </w:r>
            <w:r>
              <w:rPr>
                <w:rFonts w:hint="eastAsia" w:ascii="宋体" w:hAnsi="宋体" w:eastAsia="宋体" w:cs="宋体"/>
                <w:sz w:val="21"/>
                <w:szCs w:val="21"/>
              </w:rPr>
              <w:tab/>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 to-19.00D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in</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0.25D步长(0.12D步长)</w:t>
            </w:r>
            <w:r>
              <w:rPr>
                <w:rFonts w:hint="eastAsia" w:ascii="宋体" w:hAnsi="宋体" w:eastAsia="宋体" w:cs="宋体"/>
                <w:sz w:val="21"/>
                <w:szCs w:val="21"/>
              </w:rPr>
              <w:tab/>
            </w:r>
          </w:p>
        </w:tc>
        <w:tc>
          <w:tcPr>
            <w:tcW w:w="1456" w:type="pct"/>
            <w:vAlign w:val="center"/>
          </w:tcPr>
          <w:p w14:paraId="1BC9757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FB27E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E79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3EF7818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p>
        </w:tc>
        <w:tc>
          <w:tcPr>
            <w:tcW w:w="915" w:type="pct"/>
            <w:vMerge w:val="continue"/>
            <w:vAlign w:val="center"/>
          </w:tcPr>
          <w:p w14:paraId="7C0AC9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3FC54CA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1"/>
                <w:szCs w:val="16"/>
                <w:highlight w:val="none"/>
              </w:rPr>
            </w:pPr>
            <w:r>
              <w:rPr>
                <w:rFonts w:hint="eastAsia" w:ascii="宋体" w:hAnsi="宋体" w:eastAsia="宋体" w:cs="宋体"/>
                <w:sz w:val="21"/>
                <w:szCs w:val="21"/>
              </w:rPr>
              <w:t>远视</w:t>
            </w:r>
            <w:r>
              <w:rPr>
                <w:rFonts w:hint="eastAsia" w:ascii="宋体" w:hAnsi="宋体" w:eastAsia="宋体" w:cs="宋体"/>
                <w:sz w:val="21"/>
                <w:szCs w:val="21"/>
              </w:rPr>
              <w:tab/>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 to+16.75D</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in</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0.25D步长(0.12D步长)</w:t>
            </w:r>
          </w:p>
        </w:tc>
        <w:tc>
          <w:tcPr>
            <w:tcW w:w="1456" w:type="pct"/>
            <w:vAlign w:val="center"/>
          </w:tcPr>
          <w:p w14:paraId="7F92FD9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5A0BBCE7">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18E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187DF19D">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w:t>
            </w:r>
          </w:p>
        </w:tc>
        <w:tc>
          <w:tcPr>
            <w:tcW w:w="915" w:type="pct"/>
            <w:vMerge w:val="continue"/>
            <w:vAlign w:val="center"/>
          </w:tcPr>
          <w:p w14:paraId="4BE6BC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6B2E3B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1"/>
                <w:szCs w:val="16"/>
                <w:highlight w:val="none"/>
              </w:rPr>
            </w:pPr>
            <w:r>
              <w:rPr>
                <w:rFonts w:hint="eastAsia" w:ascii="宋体" w:hAnsi="宋体" w:eastAsia="宋体" w:cs="宋体"/>
                <w:sz w:val="21"/>
                <w:szCs w:val="21"/>
              </w:rPr>
              <w:t>散光</w:t>
            </w:r>
            <w:r>
              <w:rPr>
                <w:rFonts w:hint="eastAsia" w:ascii="宋体" w:hAnsi="宋体" w:eastAsia="宋体" w:cs="宋体"/>
                <w:sz w:val="21"/>
                <w:szCs w:val="21"/>
              </w:rPr>
              <w:tab/>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 to-6.00D(-8.00D)每0.25D步长(0.12D步长)</w:t>
            </w:r>
          </w:p>
        </w:tc>
        <w:tc>
          <w:tcPr>
            <w:tcW w:w="1456" w:type="pct"/>
            <w:vAlign w:val="center"/>
          </w:tcPr>
          <w:p w14:paraId="704D7789">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367646F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48656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D2B992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w:t>
            </w:r>
          </w:p>
        </w:tc>
        <w:tc>
          <w:tcPr>
            <w:tcW w:w="915" w:type="pct"/>
            <w:vMerge w:val="continue"/>
            <w:vAlign w:val="center"/>
          </w:tcPr>
          <w:p w14:paraId="3A19A5A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0CB6FD4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1"/>
                <w:szCs w:val="16"/>
                <w:highlight w:val="none"/>
              </w:rPr>
            </w:pPr>
            <w:r>
              <w:rPr>
                <w:rFonts w:hint="eastAsia" w:ascii="宋体" w:hAnsi="宋体" w:eastAsia="宋体" w:cs="宋体"/>
                <w:sz w:val="21"/>
                <w:szCs w:val="21"/>
              </w:rPr>
              <w:t>交叉柱镜</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+0.25D(+0.37D和+0.50D可选)</w:t>
            </w:r>
          </w:p>
        </w:tc>
        <w:tc>
          <w:tcPr>
            <w:tcW w:w="1456" w:type="pct"/>
            <w:vAlign w:val="center"/>
          </w:tcPr>
          <w:p w14:paraId="1A4B7EF0">
            <w:pPr>
              <w:pStyle w:val="6"/>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highlight w:val="none"/>
              </w:rPr>
            </w:pPr>
          </w:p>
        </w:tc>
        <w:tc>
          <w:tcPr>
            <w:tcW w:w="502" w:type="pct"/>
            <w:vAlign w:val="center"/>
          </w:tcPr>
          <w:p w14:paraId="22B56232">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0B63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79B2C5C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eastAsia="zh-CN"/>
              </w:rPr>
            </w:pPr>
            <w:r>
              <w:rPr>
                <w:rFonts w:hint="eastAsia" w:asciiTheme="minorEastAsia" w:hAnsiTheme="minorEastAsia" w:eastAsiaTheme="minorEastAsia" w:cstheme="minorEastAsia"/>
                <w:color w:val="auto"/>
                <w:sz w:val="24"/>
                <w:highlight w:val="none"/>
                <w:lang w:val="en-US" w:eastAsia="zh-CN"/>
              </w:rPr>
              <w:t>5</w:t>
            </w:r>
          </w:p>
        </w:tc>
        <w:tc>
          <w:tcPr>
            <w:tcW w:w="915" w:type="pct"/>
            <w:vMerge w:val="continue"/>
            <w:vAlign w:val="center"/>
          </w:tcPr>
          <w:p w14:paraId="2B70F5B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2EEC23DE">
            <w:pPr>
              <w:pageBreakBefore w:val="0"/>
              <w:kinsoku/>
              <w:overflowPunct/>
              <w:topLinePunct w:val="0"/>
              <w:bidi w:val="0"/>
              <w:spacing w:line="36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隐斜视和会聚能力</w:t>
            </w:r>
            <w:r>
              <w:rPr>
                <w:rFonts w:hint="eastAsia" w:ascii="宋体" w:hAnsi="宋体" w:eastAsia="宋体" w:cs="宋体"/>
                <w:sz w:val="21"/>
                <w:szCs w:val="21"/>
                <w:lang w:val="en-US" w:eastAsia="zh-CN"/>
              </w:rPr>
              <w:t>:</w:t>
            </w:r>
            <w:r>
              <w:rPr>
                <w:rFonts w:hint="eastAsia" w:ascii="宋体" w:hAnsi="宋体" w:eastAsia="宋体" w:cs="宋体"/>
                <w:sz w:val="21"/>
                <w:szCs w:val="21"/>
              </w:rPr>
              <w:t>"20</w:t>
            </w:r>
            <w:r>
              <w:rPr>
                <w:rFonts w:hint="eastAsia" w:ascii="宋体" w:hAnsi="宋体" w:eastAsia="宋体" w:cs="宋体"/>
                <w:sz w:val="21"/>
                <w:szCs w:val="21"/>
                <w:vertAlign w:val="superscript"/>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to O</w:t>
            </w:r>
            <w:r>
              <w:rPr>
                <w:rFonts w:hint="eastAsia" w:ascii="宋体" w:hAnsi="宋体" w:eastAsia="宋体" w:cs="宋体"/>
                <w:sz w:val="21"/>
                <w:szCs w:val="21"/>
                <w:vertAlign w:val="superscript"/>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to 20</w:t>
            </w:r>
            <w:r>
              <w:rPr>
                <w:rFonts w:hint="eastAsia" w:ascii="宋体" w:hAnsi="宋体" w:eastAsia="宋体" w:cs="宋体"/>
                <w:sz w:val="21"/>
                <w:szCs w:val="21"/>
                <w:vertAlign w:val="superscript"/>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by1</w:t>
            </w:r>
            <w:r>
              <w:rPr>
                <w:rFonts w:hint="eastAsia" w:ascii="宋体" w:hAnsi="宋体" w:eastAsia="宋体" w:cs="宋体"/>
                <w:sz w:val="21"/>
                <w:szCs w:val="21"/>
                <w:vertAlign w:val="superscript"/>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step</w:t>
            </w:r>
          </w:p>
          <w:p w14:paraId="05E8DE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内部</w:t>
            </w:r>
            <w:r>
              <w:rPr>
                <w:rFonts w:hint="eastAsia" w:ascii="宋体" w:hAnsi="宋体" w:eastAsia="宋体" w:cs="宋体"/>
                <w:sz w:val="21"/>
                <w:szCs w:val="21"/>
                <w:lang w:val="en-US" w:eastAsia="zh-CN"/>
              </w:rPr>
              <w:t>:</w:t>
            </w:r>
            <w:r>
              <w:rPr>
                <w:rFonts w:hint="eastAsia" w:ascii="宋体" w:hAnsi="宋体" w:eastAsia="宋体" w:cs="宋体"/>
                <w:sz w:val="21"/>
                <w:szCs w:val="21"/>
              </w:rPr>
              <w:t>4</w:t>
            </w:r>
            <w:r>
              <w:rPr>
                <w:rFonts w:hint="eastAsia" w:ascii="宋体" w:hAnsi="宋体" w:eastAsia="宋体" w:cs="宋体"/>
                <w:sz w:val="21"/>
                <w:szCs w:val="21"/>
                <w:lang w:val="en-US" w:eastAsia="zh-CN"/>
              </w:rPr>
              <w:t>0</w:t>
            </w:r>
            <w:r>
              <w:rPr>
                <w:rFonts w:hint="eastAsia" w:ascii="宋体" w:hAnsi="宋体" w:eastAsia="宋体" w:cs="宋体"/>
                <w:sz w:val="21"/>
                <w:szCs w:val="21"/>
                <w:vertAlign w:val="superscript"/>
                <w:lang w:val="en-US" w:eastAsia="zh-CN"/>
              </w:rPr>
              <w:t>△</w:t>
            </w:r>
          </w:p>
          <w:p w14:paraId="43CD57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外部</w:t>
            </w:r>
            <w:r>
              <w:rPr>
                <w:rFonts w:hint="eastAsia" w:ascii="宋体" w:hAnsi="宋体" w:eastAsia="宋体" w:cs="宋体"/>
                <w:sz w:val="21"/>
                <w:szCs w:val="21"/>
                <w:lang w:val="en-US" w:eastAsia="zh-CN"/>
              </w:rPr>
              <w:t>:</w:t>
            </w:r>
            <w:r>
              <w:rPr>
                <w:rFonts w:hint="eastAsia" w:ascii="宋体" w:hAnsi="宋体" w:eastAsia="宋体" w:cs="宋体"/>
                <w:sz w:val="21"/>
                <w:szCs w:val="21"/>
              </w:rPr>
              <w:t>40</w:t>
            </w:r>
            <w:r>
              <w:rPr>
                <w:rFonts w:hint="eastAsia" w:ascii="宋体" w:hAnsi="宋体" w:eastAsia="宋体" w:cs="宋体"/>
                <w:sz w:val="21"/>
                <w:szCs w:val="21"/>
                <w:vertAlign w:val="superscript"/>
                <w:lang w:val="en-US"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(50</w:t>
            </w:r>
            <w:r>
              <w:rPr>
                <w:rFonts w:hint="eastAsia" w:ascii="宋体" w:hAnsi="宋体" w:eastAsia="宋体" w:cs="宋体"/>
                <w:sz w:val="21"/>
                <w:szCs w:val="21"/>
                <w:vertAlign w:val="superscript"/>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p w14:paraId="71409BCC">
            <w:pPr>
              <w:pageBreakBefore w:val="0"/>
              <w:kinsoku/>
              <w:overflowPunct/>
              <w:topLinePunct w:val="0"/>
              <w:bidi w:val="0"/>
              <w:spacing w:line="36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上方和下方</w:t>
            </w:r>
            <w:r>
              <w:rPr>
                <w:rFonts w:hint="eastAsia" w:ascii="宋体" w:hAnsi="宋体" w:eastAsia="宋体" w:cs="宋体"/>
                <w:sz w:val="21"/>
                <w:szCs w:val="21"/>
                <w:lang w:val="en-US" w:eastAsia="zh-CN"/>
              </w:rPr>
              <w:t>:</w:t>
            </w:r>
            <w:r>
              <w:rPr>
                <w:rFonts w:hint="eastAsia" w:ascii="宋体" w:hAnsi="宋体" w:eastAsia="宋体" w:cs="宋体"/>
                <w:sz w:val="21"/>
                <w:szCs w:val="21"/>
              </w:rPr>
              <w:t>40</w:t>
            </w:r>
            <w:r>
              <w:rPr>
                <w:rFonts w:hint="eastAsia" w:ascii="宋体" w:hAnsi="宋体" w:eastAsia="宋体" w:cs="宋体"/>
                <w:sz w:val="21"/>
                <w:szCs w:val="21"/>
                <w:vertAlign w:val="superscript"/>
              </w:rPr>
              <w:t>△</w:t>
            </w:r>
            <w:r>
              <w:rPr>
                <w:rFonts w:hint="eastAsia" w:ascii="宋体" w:hAnsi="宋体" w:eastAsia="宋体" w:cs="宋体"/>
                <w:sz w:val="21"/>
                <w:szCs w:val="21"/>
              </w:rPr>
              <w:t>(46</w:t>
            </w:r>
            <w:r>
              <w:rPr>
                <w:rFonts w:hint="eastAsia" w:ascii="宋体" w:hAnsi="宋体" w:eastAsia="宋体" w:cs="宋体"/>
                <w:sz w:val="21"/>
                <w:szCs w:val="21"/>
                <w:vertAlign w:val="superscript"/>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w:t>
            </w:r>
          </w:p>
        </w:tc>
        <w:tc>
          <w:tcPr>
            <w:tcW w:w="1456" w:type="pct"/>
            <w:vAlign w:val="center"/>
          </w:tcPr>
          <w:p w14:paraId="648418B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CAA47BC">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2D3A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608A9F0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6</w:t>
            </w:r>
          </w:p>
        </w:tc>
        <w:tc>
          <w:tcPr>
            <w:tcW w:w="915" w:type="pct"/>
            <w:vMerge w:val="continue"/>
            <w:vAlign w:val="center"/>
          </w:tcPr>
          <w:p w14:paraId="263722A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19748F0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1"/>
                <w:szCs w:val="16"/>
                <w:highlight w:val="none"/>
              </w:rPr>
            </w:pPr>
            <w:r>
              <w:rPr>
                <w:rFonts w:hint="eastAsia" w:ascii="宋体" w:hAnsi="宋体" w:eastAsia="宋体" w:cs="宋体"/>
                <w:sz w:val="21"/>
                <w:szCs w:val="21"/>
              </w:rPr>
              <w:t>近用视力测试</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"两个镜片主光轴通过倾斜仪器在64mm瞳距处眼睛前</w:t>
            </w:r>
            <w:r>
              <w:rPr>
                <w:rFonts w:hint="eastAsia" w:ascii="宋体" w:hAnsi="宋体" w:eastAsia="宋体" w:cs="宋体"/>
                <w:sz w:val="21"/>
                <w:szCs w:val="21"/>
                <w:lang w:eastAsia="zh-CN"/>
              </w:rPr>
              <w:t>方</w:t>
            </w:r>
            <w:r>
              <w:rPr>
                <w:rFonts w:hint="eastAsia" w:ascii="宋体" w:hAnsi="宋体" w:eastAsia="宋体" w:cs="宋体"/>
                <w:sz w:val="21"/>
                <w:szCs w:val="21"/>
              </w:rPr>
              <w:t>40cm处会聚。如果瞳距对于远视力小于54mm,会聚操作停止。"</w:t>
            </w:r>
          </w:p>
        </w:tc>
        <w:tc>
          <w:tcPr>
            <w:tcW w:w="1456" w:type="pct"/>
            <w:vAlign w:val="center"/>
          </w:tcPr>
          <w:p w14:paraId="2D3E901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13A7F96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59A8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9BB5B3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7</w:t>
            </w:r>
          </w:p>
        </w:tc>
        <w:tc>
          <w:tcPr>
            <w:tcW w:w="915" w:type="pct"/>
            <w:vMerge w:val="continue"/>
            <w:vAlign w:val="center"/>
          </w:tcPr>
          <w:p w14:paraId="7709333B">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75057449">
            <w:pPr>
              <w:pageBreakBefore w:val="0"/>
              <w:kinsoku/>
              <w:overflowPunct/>
              <w:topLinePunct w:val="0"/>
              <w:bidi w:val="0"/>
              <w:spacing w:line="360" w:lineRule="auto"/>
              <w:ind w:left="0" w:leftChars="0" w:right="0" w:rightChars="0"/>
              <w:jc w:val="center"/>
              <w:textAlignment w:val="auto"/>
              <w:rPr>
                <w:rFonts w:hint="eastAsia" w:ascii="宋体" w:hAnsi="宋体" w:eastAsia="宋体" w:cs="宋体"/>
                <w:sz w:val="21"/>
                <w:szCs w:val="21"/>
              </w:rPr>
            </w:pPr>
            <w:r>
              <w:rPr>
                <w:rFonts w:hint="eastAsia" w:ascii="宋体" w:hAnsi="宋体" w:eastAsia="宋体" w:cs="宋体"/>
                <w:sz w:val="21"/>
                <w:szCs w:val="21"/>
              </w:rPr>
              <w:t>双眼平衡测试</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可提供旋转棱镜法和偏振镜法</w:t>
            </w:r>
          </w:p>
        </w:tc>
        <w:tc>
          <w:tcPr>
            <w:tcW w:w="1456" w:type="pct"/>
            <w:vAlign w:val="center"/>
          </w:tcPr>
          <w:p w14:paraId="25674EAF">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68CB464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22129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597BDF5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8</w:t>
            </w:r>
          </w:p>
        </w:tc>
        <w:tc>
          <w:tcPr>
            <w:tcW w:w="915" w:type="pct"/>
            <w:vMerge w:val="continue"/>
            <w:vAlign w:val="center"/>
          </w:tcPr>
          <w:p w14:paraId="4A9371D0">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5F5882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瞳距</w:t>
            </w:r>
            <w:r>
              <w:rPr>
                <w:rFonts w:hint="eastAsia" w:ascii="宋体" w:hAnsi="宋体" w:eastAsia="宋体" w:cs="宋体"/>
                <w:sz w:val="21"/>
                <w:szCs w:val="21"/>
              </w:rPr>
              <w:tab/>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48-75mm</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x</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lmm的步长</w:t>
            </w:r>
            <w:r>
              <w:rPr>
                <w:rFonts w:hint="eastAsia" w:ascii="宋体" w:hAnsi="宋体" w:eastAsia="宋体" w:cs="宋体"/>
                <w:sz w:val="21"/>
                <w:szCs w:val="21"/>
              </w:rPr>
              <w:tab/>
            </w:r>
          </w:p>
        </w:tc>
        <w:tc>
          <w:tcPr>
            <w:tcW w:w="1456" w:type="pct"/>
            <w:vAlign w:val="center"/>
          </w:tcPr>
          <w:p w14:paraId="746F5F86">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DA7F285">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0603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E20E6E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r>
              <w:rPr>
                <w:rFonts w:hint="eastAsia" w:asciiTheme="minorEastAsia" w:hAnsiTheme="minorEastAsia" w:eastAsiaTheme="minorEastAsia" w:cstheme="minorEastAsia"/>
                <w:color w:val="auto"/>
                <w:sz w:val="24"/>
                <w:highlight w:val="none"/>
                <w:lang w:val="en-US" w:eastAsia="zh-CN"/>
              </w:rPr>
              <w:t>9</w:t>
            </w:r>
          </w:p>
        </w:tc>
        <w:tc>
          <w:tcPr>
            <w:tcW w:w="915" w:type="pct"/>
            <w:vMerge w:val="continue"/>
            <w:vAlign w:val="center"/>
          </w:tcPr>
          <w:p w14:paraId="603C032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1680" w:type="pct"/>
            <w:vAlign w:val="center"/>
          </w:tcPr>
          <w:p w14:paraId="4A91B21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w:t>
            </w:r>
            <w:r>
              <w:rPr>
                <w:rFonts w:hint="eastAsia" w:ascii="宋体" w:hAnsi="宋体" w:eastAsia="宋体" w:cs="宋体"/>
                <w:sz w:val="21"/>
                <w:szCs w:val="21"/>
              </w:rPr>
              <w:t>水平调节</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ab/>
            </w:r>
            <w:r>
              <w:rPr>
                <w:rFonts w:hint="eastAsia" w:ascii="宋体" w:hAnsi="宋体" w:eastAsia="宋体" w:cs="宋体"/>
                <w:sz w:val="21"/>
                <w:szCs w:val="21"/>
              </w:rPr>
              <w:t>右边和左边可调节超过4.5°</w:t>
            </w:r>
          </w:p>
        </w:tc>
        <w:tc>
          <w:tcPr>
            <w:tcW w:w="1456" w:type="pct"/>
            <w:vAlign w:val="center"/>
          </w:tcPr>
          <w:p w14:paraId="01873644">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26ED80D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7C12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10" w:hRule="atLeast"/>
          <w:jc w:val="center"/>
        </w:trPr>
        <w:tc>
          <w:tcPr>
            <w:tcW w:w="445" w:type="pct"/>
            <w:vAlign w:val="center"/>
          </w:tcPr>
          <w:p w14:paraId="6109DD0E">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p>
        </w:tc>
        <w:tc>
          <w:tcPr>
            <w:tcW w:w="915" w:type="pct"/>
            <w:vAlign w:val="center"/>
          </w:tcPr>
          <w:p w14:paraId="6F1DC1D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b/>
                <w:bCs/>
                <w:sz w:val="32"/>
                <w:szCs w:val="32"/>
              </w:rPr>
              <w:t>辅助镜片参数</w:t>
            </w:r>
          </w:p>
        </w:tc>
        <w:tc>
          <w:tcPr>
            <w:tcW w:w="1680" w:type="pct"/>
            <w:vAlign w:val="center"/>
          </w:tcPr>
          <w:p w14:paraId="0CDBCB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w:t>
            </w:r>
            <w:r>
              <w:rPr>
                <w:rFonts w:hint="eastAsia" w:ascii="宋体" w:hAnsi="宋体" w:eastAsia="宋体" w:cs="宋体"/>
                <w:sz w:val="21"/>
                <w:szCs w:val="21"/>
                <w:lang w:val="en-US" w:eastAsia="zh-CN"/>
              </w:rPr>
              <w:t>O</w:t>
            </w:r>
            <w:r>
              <w:rPr>
                <w:rFonts w:hint="eastAsia" w:ascii="宋体" w:hAnsi="宋体" w:eastAsia="宋体" w:cs="宋体"/>
                <w:sz w:val="21"/>
                <w:szCs w:val="21"/>
              </w:rPr>
              <w:t>/0</w:t>
            </w:r>
            <w:r>
              <w:rPr>
                <w:rFonts w:hint="default"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开放光圈</w:t>
            </w:r>
          </w:p>
          <w:p w14:paraId="6E59F0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 R”</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视网膜镜片：+1.50D标准；+2.00D可选</w:t>
            </w:r>
          </w:p>
          <w:p w14:paraId="2FD516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“P</w:t>
            </w:r>
            <w:r>
              <w:rPr>
                <w:rFonts w:hint="default" w:ascii="宋体" w:hAnsi="宋体" w:eastAsia="宋体" w:cs="宋体"/>
                <w:sz w:val="21"/>
                <w:szCs w:val="21"/>
                <w:lang w:val="en-US" w:eastAsia="zh-CN"/>
              </w:rPr>
              <w:t>”</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偏光滤光片</w:t>
            </w:r>
          </w:p>
          <w:p w14:paraId="49D732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“WMV/RM</w:t>
            </w:r>
            <w:r>
              <w:rPr>
                <w:rFonts w:hint="eastAsia" w:ascii="宋体" w:hAnsi="宋体" w:eastAsia="宋体" w:cs="宋体"/>
                <w:sz w:val="21"/>
                <w:szCs w:val="21"/>
                <w:lang w:val="en-US" w:eastAsia="zh-CN"/>
              </w:rPr>
              <w:t>V</w:t>
            </w:r>
            <w:r>
              <w:rPr>
                <w:rFonts w:hint="default"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Maddox杆，垂直：白色(左);红色(右)</w:t>
            </w:r>
          </w:p>
          <w:p w14:paraId="56D6C9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“WMH/RMH</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Maddox Rod,水平：白色(左);红色(右)</w:t>
            </w:r>
          </w:p>
          <w:p w14:paraId="77EE8F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“GL</w:t>
            </w:r>
            <w:r>
              <w:rPr>
                <w:rFonts w:hint="default" w:ascii="宋体" w:hAnsi="宋体" w:eastAsia="宋体" w:cs="宋体"/>
                <w:sz w:val="21"/>
                <w:szCs w:val="21"/>
                <w:lang w:val="en-US" w:eastAsia="zh-CN"/>
              </w:rPr>
              <w:t>”</w:t>
            </w:r>
            <w:r>
              <w:rPr>
                <w:rFonts w:hint="eastAsia" w:ascii="宋体" w:hAnsi="宋体" w:eastAsia="宋体" w:cs="宋体"/>
                <w:sz w:val="21"/>
                <w:szCs w:val="21"/>
              </w:rPr>
              <w:t>绿色镜片(左 )</w:t>
            </w:r>
          </w:p>
          <w:p w14:paraId="5C1179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7.</w:t>
            </w:r>
            <w:r>
              <w:rPr>
                <w:rFonts w:hint="eastAsia" w:ascii="宋体" w:hAnsi="宋体" w:eastAsia="宋体" w:cs="宋体"/>
                <w:sz w:val="21"/>
                <w:szCs w:val="21"/>
              </w:rPr>
              <w:t>“RL”红色镜片(右)</w:t>
            </w:r>
          </w:p>
          <w:p w14:paraId="481C68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“+12”</w:t>
            </w:r>
            <w:r>
              <w:rPr>
                <w:rFonts w:hint="eastAsia" w:ascii="宋体" w:hAnsi="宋体" w:eastAsia="宋体" w:cs="宋体"/>
                <w:sz w:val="21"/>
                <w:szCs w:val="21"/>
              </w:rPr>
              <w:tab/>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+0.12D球形</w:t>
            </w:r>
          </w:p>
          <w:p w14:paraId="3BDD44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“PH”</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针孔镜</w:t>
            </w:r>
          </w:p>
          <w:p w14:paraId="3BA295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10.</w:t>
            </w:r>
            <w:r>
              <w:rPr>
                <w:rFonts w:hint="eastAsia" w:ascii="宋体" w:hAnsi="宋体" w:eastAsia="宋体" w:cs="宋体"/>
                <w:sz w:val="21"/>
                <w:szCs w:val="21"/>
              </w:rPr>
              <w:t>“10</w:t>
            </w:r>
            <w:r>
              <w:rPr>
                <w:rFonts w:hint="eastAsia" w:ascii="宋体" w:hAnsi="宋体" w:eastAsia="宋体" w:cs="宋体"/>
                <w:sz w:val="21"/>
                <w:szCs w:val="21"/>
                <w:lang w:val="en-US" w:eastAsia="zh-CN"/>
              </w:rPr>
              <w:t>l</w:t>
            </w:r>
            <w:r>
              <w:rPr>
                <w:rFonts w:hint="default"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10屈光度棱镜</w:t>
            </w:r>
            <w:r>
              <w:rPr>
                <w:rFonts w:hint="eastAsia" w:ascii="宋体" w:hAnsi="宋体" w:eastAsia="宋体" w:cs="宋体"/>
                <w:sz w:val="21"/>
                <w:szCs w:val="21"/>
                <w:lang w:eastAsia="zh-CN"/>
              </w:rPr>
              <w:t>底座</w:t>
            </w:r>
            <w:r>
              <w:rPr>
                <w:rFonts w:hint="eastAsia" w:ascii="宋体" w:hAnsi="宋体" w:eastAsia="宋体" w:cs="宋体"/>
                <w:sz w:val="21"/>
                <w:szCs w:val="21"/>
              </w:rPr>
              <w:t>(左)</w:t>
            </w:r>
          </w:p>
          <w:p w14:paraId="62BC4C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11.</w:t>
            </w:r>
            <w:r>
              <w:rPr>
                <w:rFonts w:hint="eastAsia" w:ascii="宋体" w:hAnsi="宋体" w:eastAsia="宋体" w:cs="宋体"/>
                <w:sz w:val="21"/>
                <w:szCs w:val="21"/>
              </w:rPr>
              <w:t>“6U</w:t>
            </w:r>
            <w:r>
              <w:rPr>
                <w:rFonts w:hint="default" w:ascii="宋体" w:hAnsi="宋体" w:eastAsia="宋体" w:cs="宋体"/>
                <w:sz w:val="21"/>
                <w:szCs w:val="21"/>
                <w:lang w:val="en-US" w:eastAsia="zh-CN"/>
              </w:rPr>
              <w:t>”</w:t>
            </w:r>
            <w:r>
              <w:rPr>
                <w:rFonts w:hint="eastAsia"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6屈光度棱镜底座向上(右)</w:t>
            </w:r>
          </w:p>
          <w:p w14:paraId="5EA5D9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12.</w:t>
            </w:r>
            <w:r>
              <w:rPr>
                <w:rFonts w:hint="eastAsia" w:ascii="宋体" w:hAnsi="宋体" w:eastAsia="宋体" w:cs="宋体"/>
                <w:sz w:val="21"/>
                <w:szCs w:val="21"/>
              </w:rPr>
              <w:t>“±</w:t>
            </w:r>
            <w:r>
              <w:rPr>
                <w:rFonts w:hint="eastAsia" w:ascii="宋体" w:hAnsi="宋体" w:eastAsia="宋体" w:cs="宋体"/>
                <w:sz w:val="21"/>
                <w:szCs w:val="21"/>
                <w:lang w:val="en-US" w:eastAsia="zh-CN"/>
              </w:rPr>
              <w:t>.</w:t>
            </w:r>
            <w:r>
              <w:rPr>
                <w:rFonts w:hint="eastAsia" w:ascii="宋体" w:hAnsi="宋体" w:eastAsia="宋体" w:cs="宋体"/>
                <w:sz w:val="21"/>
                <w:szCs w:val="21"/>
              </w:rPr>
              <w:t>50</w:t>
            </w:r>
            <w:r>
              <w:rPr>
                <w:rFonts w:hint="default"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±0.50D固定交叉圆柱</w:t>
            </w:r>
          </w:p>
          <w:p w14:paraId="55DCAD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13.</w:t>
            </w:r>
            <w:r>
              <w:rPr>
                <w:rFonts w:hint="eastAsia" w:ascii="宋体" w:hAnsi="宋体" w:eastAsia="宋体" w:cs="宋体"/>
                <w:sz w:val="21"/>
                <w:szCs w:val="21"/>
              </w:rPr>
              <w:t>“OC</w:t>
            </w:r>
            <w:r>
              <w:rPr>
                <w:rFonts w:hint="default" w:ascii="宋体" w:hAnsi="宋体" w:eastAsia="宋体" w:cs="宋体"/>
                <w:sz w:val="21"/>
                <w:szCs w:val="21"/>
                <w:lang w:val="en-US" w:eastAsia="zh-CN"/>
              </w:rPr>
              <w:t>”</w:t>
            </w:r>
            <w:r>
              <w:rPr>
                <w:rFonts w:hint="eastAsia" w:ascii="宋体" w:hAnsi="宋体" w:eastAsia="宋体" w:cs="宋体"/>
                <w:sz w:val="21"/>
                <w:szCs w:val="21"/>
              </w:rPr>
              <w:tab/>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封闭器</w:t>
            </w:r>
          </w:p>
          <w:p w14:paraId="5A7DA57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p>
        </w:tc>
        <w:tc>
          <w:tcPr>
            <w:tcW w:w="1456" w:type="pct"/>
            <w:vAlign w:val="center"/>
          </w:tcPr>
          <w:p w14:paraId="26F4C8C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4C56AB3A">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tr w14:paraId="152C5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5" w:type="pct"/>
            <w:vAlign w:val="center"/>
          </w:tcPr>
          <w:p w14:paraId="21BA67D8">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lang w:val="en-US" w:eastAsia="zh-CN"/>
              </w:rPr>
            </w:pPr>
          </w:p>
        </w:tc>
        <w:tc>
          <w:tcPr>
            <w:tcW w:w="915" w:type="pct"/>
            <w:vAlign w:val="center"/>
          </w:tcPr>
          <w:p w14:paraId="7485F133">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r>
              <w:rPr>
                <w:rFonts w:hint="eastAsia" w:ascii="宋体" w:hAnsi="宋体" w:eastAsia="宋体" w:cs="宋体"/>
                <w:b/>
                <w:bCs/>
                <w:sz w:val="32"/>
                <w:szCs w:val="32"/>
                <w:lang w:eastAsia="zh-CN"/>
              </w:rPr>
              <w:t>可选配件</w:t>
            </w:r>
          </w:p>
        </w:tc>
        <w:tc>
          <w:tcPr>
            <w:tcW w:w="1680" w:type="pct"/>
            <w:vAlign w:val="center"/>
          </w:tcPr>
          <w:p w14:paraId="260CC24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lang w:val="en-US" w:eastAsia="zh-CN"/>
              </w:rPr>
            </w:pPr>
            <w:r>
              <w:rPr>
                <w:rFonts w:hint="eastAsia"/>
                <w:sz w:val="22"/>
                <w:szCs w:val="20"/>
                <w:lang w:val="en-US" w:eastAsia="zh-CN"/>
              </w:rPr>
              <w:t>+0.37/+0.50D 交叉柱镜，+2.00D视网膜检影镜</w:t>
            </w:r>
          </w:p>
        </w:tc>
        <w:tc>
          <w:tcPr>
            <w:tcW w:w="1456" w:type="pct"/>
            <w:vAlign w:val="center"/>
          </w:tcPr>
          <w:p w14:paraId="2E5193A1">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c>
          <w:tcPr>
            <w:tcW w:w="502" w:type="pct"/>
            <w:vAlign w:val="center"/>
          </w:tcPr>
          <w:p w14:paraId="7DA95369">
            <w:pPr>
              <w:pageBreakBefore w:val="0"/>
              <w:kinsoku/>
              <w:overflowPunct/>
              <w:topLinePunct w:val="0"/>
              <w:bidi w:val="0"/>
              <w:spacing w:line="360" w:lineRule="auto"/>
              <w:ind w:left="0" w:leftChars="0" w:right="0" w:rightChars="0"/>
              <w:jc w:val="center"/>
              <w:textAlignment w:val="auto"/>
              <w:rPr>
                <w:rFonts w:hint="eastAsia" w:asciiTheme="minorEastAsia" w:hAnsiTheme="minorEastAsia" w:eastAsiaTheme="minorEastAsia" w:cstheme="minorEastAsia"/>
                <w:color w:val="auto"/>
                <w:sz w:val="24"/>
                <w:highlight w:val="none"/>
              </w:rPr>
            </w:pPr>
          </w:p>
        </w:tc>
      </w:tr>
      <w:bookmarkEnd w:id="0"/>
    </w:tbl>
    <w:p w14:paraId="4690BE1B">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投标人电子签章：</w:t>
      </w:r>
      <w:r>
        <w:rPr>
          <w:rFonts w:hint="eastAsia" w:asciiTheme="minorEastAsia" w:hAnsiTheme="minorEastAsia" w:eastAsiaTheme="minorEastAsia" w:cstheme="minorEastAsia"/>
          <w:color w:val="auto"/>
          <w:sz w:val="24"/>
          <w:highlight w:val="none"/>
          <w:u w:val="single"/>
        </w:rPr>
        <w:t xml:space="preserve">             </w:t>
      </w:r>
    </w:p>
    <w:p w14:paraId="15B11012">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rPr>
        <w:t>日          期：</w:t>
      </w:r>
      <w:r>
        <w:rPr>
          <w:rFonts w:hint="eastAsia" w:asciiTheme="minorEastAsia" w:hAnsiTheme="minorEastAsia" w:eastAsiaTheme="minorEastAsia" w:cstheme="minorEastAsia"/>
          <w:color w:val="auto"/>
          <w:sz w:val="24"/>
          <w:highlight w:val="none"/>
          <w:u w:val="single"/>
        </w:rPr>
        <w:t xml:space="preserve">             </w:t>
      </w:r>
    </w:p>
    <w:p w14:paraId="5274B668">
      <w:pPr>
        <w:pageBreakBefore w:val="0"/>
        <w:kinsoku/>
        <w:overflowPunct/>
        <w:topLinePunct w:val="0"/>
        <w:bidi w:val="0"/>
        <w:spacing w:line="360" w:lineRule="auto"/>
        <w:ind w:left="0" w:leftChars="0" w:right="0" w:rightChars="0" w:firstLine="4800" w:firstLineChars="2000"/>
        <w:textAlignment w:val="auto"/>
        <w:rPr>
          <w:rFonts w:hint="eastAsia" w:asciiTheme="minorEastAsia" w:hAnsiTheme="minorEastAsia" w:eastAsiaTheme="minorEastAsia" w:cstheme="minorEastAsia"/>
          <w:color w:val="auto"/>
          <w:sz w:val="24"/>
          <w:highlight w:val="none"/>
          <w:u w:val="single"/>
        </w:rPr>
      </w:pPr>
    </w:p>
    <w:p w14:paraId="1E28942B">
      <w:pPr>
        <w:pStyle w:val="3"/>
        <w:pageBreakBefore w:val="0"/>
        <w:kinsoku/>
        <w:overflowPunct/>
        <w:topLinePunct w:val="0"/>
        <w:bidi w:val="0"/>
        <w:spacing w:line="360" w:lineRule="auto"/>
        <w:ind w:left="0" w:leftChars="0" w:right="0" w:rightChars="0" w:firstLineChars="0"/>
        <w:textAlignment w:val="auto"/>
        <w:rPr>
          <w:rFonts w:hint="eastAsia" w:asciiTheme="minorEastAsia" w:hAnsiTheme="minorEastAsia" w:eastAsiaTheme="minorEastAsia" w:cstheme="minorEastAsia"/>
          <w:color w:val="auto"/>
          <w:sz w:val="24"/>
          <w:highlight w:val="none"/>
          <w:u w:val="single"/>
        </w:rPr>
      </w:pPr>
      <w:r>
        <w:rPr>
          <w:rFonts w:hint="eastAsia" w:asciiTheme="minorEastAsia" w:hAnsiTheme="minorEastAsia" w:eastAsiaTheme="minorEastAsia" w:cstheme="minorEastAsia"/>
          <w:color w:val="auto"/>
          <w:sz w:val="24"/>
          <w:highlight w:val="none"/>
          <w:lang w:val="en-US" w:eastAsia="zh-CN"/>
        </w:rPr>
        <w:t>注：投标人应对所承诺的各类参数真实性负责，如中标后被质疑虚假应标且被查实的或在履约过程中被发现虚假响应的，投标人将承担包括但不限于扣除履约保证金（如有）、处以罚金和上报相关主管部门纳入不良信用记录等一切后果及法律责任。</w:t>
      </w:r>
    </w:p>
    <w:p w14:paraId="38FD287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36758C"/>
    <w:rsid w:val="02846C42"/>
    <w:rsid w:val="1459085C"/>
    <w:rsid w:val="2436758C"/>
    <w:rsid w:val="30D94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eastAsiaTheme="minorEastAsia" w:cstheme="minorBidi"/>
      <w:szCs w:val="22"/>
    </w:rPr>
  </w:style>
  <w:style w:type="paragraph" w:styleId="3">
    <w:name w:val="Date"/>
    <w:basedOn w:val="1"/>
    <w:next w:val="1"/>
    <w:qFormat/>
    <w:uiPriority w:val="0"/>
    <w:rPr>
      <w:rFonts w:ascii="Arial" w:hAnsi="Arial" w:eastAsia="宋体" w:cs="Arial"/>
      <w:b/>
      <w:sz w:val="28"/>
    </w:rPr>
  </w:style>
  <w:style w:type="paragraph" w:customStyle="1" w:styleId="6">
    <w:name w:val="Char Char Char Char Char Char Char1 Char"/>
    <w:basedOn w:val="1"/>
    <w:qFormat/>
    <w:uiPriority w:val="0"/>
    <w:rPr>
      <w:rFonts w:ascii="Arial" w:hAnsi="Arial" w:eastAsia="宋体" w:cs="Arial"/>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556</Words>
  <Characters>768</Characters>
  <Lines>0</Lines>
  <Paragraphs>0</Paragraphs>
  <TotalTime>0</TotalTime>
  <ScaleCrop>false</ScaleCrop>
  <LinksUpToDate>false</LinksUpToDate>
  <CharactersWithSpaces>900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2026-05-27T06:39:00Z</dcterms:created>
  <dc:creator>♚fùdōng( •ิ_• ิ)</dc:creator>
  <cp:lastModifiedBy>微信用户</cp:lastModifiedBy>
  <dcterms:modified xsi:type="dcterms:W3CDTF">2026-07-20T09:21:22Z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5E8029C208BB4696942D3BE1571CD03E_11</vt:lpwstr>
  </property>
  <property fmtid="{D5CDD505-2E9C-101B-9397-08002B2CF9AE}" pid="4" name="KSOTemplateDocerSaveRecord">
    <vt:lpwstr>eyJoZGlkIjoiMGRjYjVhODJmODM0NzY5N2VmOTUyYjU5ZmE3MmY1MzUiLCJ1c2VySWQiOiIxMjY0MzIwNjcwIn0=</vt:lpwstr>
  </property>
</Properties>
</file>