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7A409">
      <w:pPr>
        <w:pageBreakBefore w:val="0"/>
        <w:kinsoku/>
        <w:overflowPunct/>
        <w:topLinePunct w:val="0"/>
        <w:bidi w:val="0"/>
        <w:spacing w:line="360" w:lineRule="auto"/>
        <w:ind w:right="0" w:rightChars="0"/>
        <w:jc w:val="center"/>
        <w:textAlignment w:val="auto"/>
        <w:outlineLvl w:val="2"/>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技术</w:t>
      </w:r>
      <w:r>
        <w:rPr>
          <w:rFonts w:hint="eastAsia" w:asciiTheme="minorEastAsia" w:hAnsiTheme="minorEastAsia" w:eastAsiaTheme="minorEastAsia" w:cstheme="minorEastAsia"/>
          <w:b/>
          <w:color w:val="auto"/>
          <w:sz w:val="44"/>
          <w:szCs w:val="44"/>
          <w:highlight w:val="none"/>
          <w:lang w:val="en-US" w:eastAsia="zh-CN"/>
        </w:rPr>
        <w:t>参数</w:t>
      </w:r>
      <w:r>
        <w:rPr>
          <w:rFonts w:hint="eastAsia" w:asciiTheme="minorEastAsia" w:hAnsiTheme="minorEastAsia" w:eastAsiaTheme="minorEastAsia" w:cstheme="minorEastAsia"/>
          <w:b/>
          <w:color w:val="auto"/>
          <w:sz w:val="44"/>
          <w:szCs w:val="44"/>
          <w:highlight w:val="none"/>
        </w:rPr>
        <w:t>响应表</w:t>
      </w:r>
    </w:p>
    <w:p w14:paraId="4CDDA9C1">
      <w:pPr>
        <w:pageBreakBefore w:val="0"/>
        <w:kinsoku/>
        <w:overflowPunct/>
        <w:topLinePunct w:val="0"/>
        <w:bidi w:val="0"/>
        <w:spacing w:line="360" w:lineRule="auto"/>
        <w:ind w:right="0" w:rightChars="0"/>
        <w:jc w:val="left"/>
        <w:textAlignment w:val="auto"/>
        <w:outlineLvl w:val="2"/>
        <w:rPr>
          <w:rFonts w:hint="eastAsia" w:asciiTheme="minorEastAsia" w:hAnsiTheme="minorEastAsia" w:eastAsiaTheme="minorEastAsia" w:cstheme="minorEastAsia"/>
          <w:b/>
          <w:color w:val="auto"/>
          <w:sz w:val="24"/>
          <w:highlight w:val="none"/>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60"/>
        <w:gridCol w:w="2864"/>
        <w:gridCol w:w="2482"/>
        <w:gridCol w:w="857"/>
      </w:tblGrid>
      <w:tr w14:paraId="5801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2" w:hRule="atLeast"/>
          <w:jc w:val="center"/>
        </w:trPr>
        <w:tc>
          <w:tcPr>
            <w:tcW w:w="445" w:type="pct"/>
            <w:vAlign w:val="center"/>
          </w:tcPr>
          <w:p w14:paraId="656A35C1">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915" w:type="pct"/>
            <w:vAlign w:val="center"/>
          </w:tcPr>
          <w:p w14:paraId="37ABBDD5">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货物名称</w:t>
            </w:r>
          </w:p>
        </w:tc>
        <w:tc>
          <w:tcPr>
            <w:tcW w:w="1680" w:type="pct"/>
            <w:vAlign w:val="center"/>
          </w:tcPr>
          <w:p w14:paraId="3F3AF1FB">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招标文件规定的技术参数及要求</w:t>
            </w:r>
          </w:p>
        </w:tc>
        <w:tc>
          <w:tcPr>
            <w:tcW w:w="1456" w:type="pct"/>
            <w:vAlign w:val="center"/>
          </w:tcPr>
          <w:p w14:paraId="1E8A16C8">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所投产品的品牌、型号及技术参数</w:t>
            </w:r>
          </w:p>
        </w:tc>
        <w:tc>
          <w:tcPr>
            <w:tcW w:w="502" w:type="pct"/>
            <w:vAlign w:val="center"/>
          </w:tcPr>
          <w:p w14:paraId="2E0F4AEF">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偏离说明</w:t>
            </w:r>
          </w:p>
        </w:tc>
      </w:tr>
      <w:tr w14:paraId="0AB5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446153D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915" w:type="pct"/>
            <w:vMerge w:val="restart"/>
            <w:vAlign w:val="center"/>
          </w:tcPr>
          <w:p w14:paraId="30BC8E6C">
            <w:pPr>
              <w:spacing w:line="300" w:lineRule="auto"/>
              <w:jc w:val="center"/>
              <w:rPr>
                <w:b/>
                <w:bCs/>
                <w:sz w:val="36"/>
                <w:szCs w:val="21"/>
              </w:rPr>
            </w:pPr>
            <w:r>
              <w:rPr>
                <w:rFonts w:hint="eastAsia"/>
                <w:b/>
                <w:bCs/>
                <w:sz w:val="36"/>
                <w:szCs w:val="21"/>
              </w:rPr>
              <w:t>微波治疗仪</w:t>
            </w:r>
            <w:r>
              <w:rPr>
                <w:rFonts w:hint="eastAsia"/>
                <w:b/>
                <w:bCs/>
                <w:sz w:val="36"/>
                <w:szCs w:val="21"/>
                <w:lang w:val="en-US" w:eastAsia="zh-CN"/>
              </w:rPr>
              <w:t>参数</w:t>
            </w:r>
          </w:p>
          <w:p w14:paraId="0B673B5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5C32669">
            <w:pPr>
              <w:keepNext w:val="0"/>
              <w:keepLines w:val="0"/>
              <w:widowControl/>
              <w:suppressLineNumbers w:val="0"/>
              <w:jc w:val="center"/>
              <w:textAlignment w:val="center"/>
              <w:rPr>
                <w:rFonts w:hint="eastAsia" w:asciiTheme="minorEastAsia" w:hAnsiTheme="minorEastAsia" w:eastAsiaTheme="minorEastAsia" w:cstheme="minorEastAsia"/>
                <w:color w:val="auto"/>
                <w:sz w:val="24"/>
                <w:highlight w:val="none"/>
              </w:rPr>
            </w:pPr>
            <w:r>
              <w:rPr>
                <w:rFonts w:hint="eastAsia" w:ascii="宋体" w:hAnsi="宋体" w:eastAsia="宋体" w:cs="宋体"/>
                <w:b/>
                <w:bCs/>
                <w:i w:val="0"/>
                <w:iCs w:val="0"/>
                <w:color w:val="000000"/>
                <w:kern w:val="0"/>
                <w:sz w:val="24"/>
                <w:szCs w:val="24"/>
                <w:u w:val="none"/>
                <w:lang w:val="en-US" w:eastAsia="zh-CN" w:bidi="ar"/>
              </w:rPr>
              <w:t>工作频率：2450MHz±30MHz</w:t>
            </w:r>
          </w:p>
        </w:tc>
        <w:tc>
          <w:tcPr>
            <w:tcW w:w="1456" w:type="pct"/>
            <w:vAlign w:val="center"/>
          </w:tcPr>
          <w:p w14:paraId="1BC9757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4CFB27E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E79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3EF7818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915" w:type="pct"/>
            <w:vMerge w:val="continue"/>
            <w:tcBorders/>
            <w:vAlign w:val="center"/>
          </w:tcPr>
          <w:p w14:paraId="7C0AC9D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3FC54CA5">
            <w:pPr>
              <w:keepNext w:val="0"/>
              <w:keepLines w:val="0"/>
              <w:widowControl/>
              <w:suppressLineNumbers w:val="0"/>
              <w:jc w:val="center"/>
              <w:textAlignment w:val="center"/>
              <w:rPr>
                <w:rFonts w:hint="eastAsia" w:asciiTheme="minorEastAsia" w:hAnsiTheme="minorEastAsia" w:eastAsiaTheme="minorEastAsia" w:cstheme="minorEastAsia"/>
                <w:color w:val="auto"/>
                <w:sz w:val="24"/>
                <w:highlight w:val="none"/>
              </w:rPr>
            </w:pPr>
            <w:r>
              <w:rPr>
                <w:rFonts w:hint="eastAsia" w:ascii="宋体" w:hAnsi="宋体" w:eastAsia="宋体" w:cs="宋体"/>
                <w:b/>
                <w:bCs/>
                <w:i w:val="0"/>
                <w:iCs w:val="0"/>
                <w:color w:val="000000"/>
                <w:kern w:val="0"/>
                <w:sz w:val="24"/>
                <w:szCs w:val="24"/>
                <w:u w:val="none"/>
                <w:lang w:val="en-US" w:eastAsia="zh-CN" w:bidi="ar"/>
              </w:rPr>
              <w:t>输出功率：治疗模式0～99W，理疗模式0～40W 可调</w:t>
            </w:r>
          </w:p>
        </w:tc>
        <w:tc>
          <w:tcPr>
            <w:tcW w:w="1456" w:type="pct"/>
            <w:vAlign w:val="center"/>
          </w:tcPr>
          <w:p w14:paraId="7F92FD9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A0BBCE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18E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187DF19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915" w:type="pct"/>
            <w:vMerge w:val="continue"/>
            <w:tcBorders/>
            <w:vAlign w:val="center"/>
          </w:tcPr>
          <w:p w14:paraId="4BE6BCB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6B2E3BFB">
            <w:pPr>
              <w:keepNext w:val="0"/>
              <w:keepLines w:val="0"/>
              <w:widowControl/>
              <w:suppressLineNumbers w:val="0"/>
              <w:jc w:val="center"/>
              <w:textAlignment w:val="center"/>
              <w:rPr>
                <w:rFonts w:hint="eastAsia" w:asciiTheme="minorEastAsia" w:hAnsiTheme="minorEastAsia" w:eastAsiaTheme="minorEastAsia" w:cstheme="minorEastAsia"/>
                <w:color w:val="auto"/>
                <w:sz w:val="24"/>
                <w:highlight w:val="none"/>
              </w:rPr>
            </w:pPr>
            <w:r>
              <w:rPr>
                <w:rFonts w:hint="eastAsia" w:ascii="宋体" w:hAnsi="宋体" w:eastAsia="宋体" w:cs="宋体"/>
                <w:b/>
                <w:bCs/>
                <w:i w:val="0"/>
                <w:iCs w:val="0"/>
                <w:color w:val="000000"/>
                <w:kern w:val="0"/>
                <w:sz w:val="24"/>
                <w:szCs w:val="24"/>
                <w:u w:val="none"/>
                <w:lang w:val="en-US" w:eastAsia="zh-CN" w:bidi="ar"/>
              </w:rPr>
              <w:t>治疗时间：治疗0～99秒 可调</w:t>
            </w:r>
          </w:p>
        </w:tc>
        <w:tc>
          <w:tcPr>
            <w:tcW w:w="1456" w:type="pct"/>
            <w:vAlign w:val="center"/>
          </w:tcPr>
          <w:p w14:paraId="704D7789">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367646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486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D2B992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915" w:type="pct"/>
            <w:vMerge w:val="continue"/>
            <w:tcBorders/>
            <w:vAlign w:val="center"/>
          </w:tcPr>
          <w:p w14:paraId="3A19A5A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0CB6FD42">
            <w:pPr>
              <w:keepNext w:val="0"/>
              <w:keepLines w:val="0"/>
              <w:widowControl/>
              <w:suppressLineNumbers w:val="0"/>
              <w:jc w:val="center"/>
              <w:textAlignment w:val="center"/>
              <w:rPr>
                <w:rFonts w:hint="eastAsia" w:asciiTheme="minorEastAsia" w:hAnsiTheme="minorEastAsia" w:eastAsiaTheme="minorEastAsia" w:cstheme="minorEastAsia"/>
                <w:color w:val="auto"/>
                <w:sz w:val="24"/>
                <w:highlight w:val="none"/>
              </w:rPr>
            </w:pPr>
            <w:r>
              <w:rPr>
                <w:rFonts w:hint="eastAsia" w:ascii="宋体" w:hAnsi="宋体" w:eastAsia="宋体" w:cs="宋体"/>
                <w:b/>
                <w:bCs/>
                <w:i w:val="0"/>
                <w:iCs w:val="0"/>
                <w:color w:val="000000"/>
                <w:kern w:val="0"/>
                <w:sz w:val="24"/>
                <w:szCs w:val="24"/>
                <w:u w:val="none"/>
                <w:lang w:val="en-US" w:eastAsia="zh-CN" w:bidi="ar"/>
              </w:rPr>
              <w:t>理疗时间：理疗0～30分钟 可调</w:t>
            </w:r>
          </w:p>
        </w:tc>
        <w:tc>
          <w:tcPr>
            <w:tcW w:w="1456" w:type="pct"/>
            <w:vAlign w:val="center"/>
          </w:tcPr>
          <w:p w14:paraId="1A4B7EF0">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22B5623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0B6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445" w:type="pct"/>
            <w:vAlign w:val="center"/>
          </w:tcPr>
          <w:p w14:paraId="79B2C5C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5</w:t>
            </w:r>
          </w:p>
        </w:tc>
        <w:tc>
          <w:tcPr>
            <w:tcW w:w="915" w:type="pct"/>
            <w:vMerge w:val="continue"/>
            <w:tcBorders/>
            <w:vAlign w:val="center"/>
          </w:tcPr>
          <w:p w14:paraId="2B70F5B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EEC23DE">
            <w:pPr>
              <w:keepNext w:val="0"/>
              <w:keepLines w:val="0"/>
              <w:widowControl/>
              <w:suppressLineNumbers w:val="0"/>
              <w:jc w:val="center"/>
              <w:textAlignment w:val="center"/>
              <w:rPr>
                <w:rFonts w:hint="eastAsia" w:asciiTheme="minorEastAsia" w:hAnsiTheme="minorEastAsia" w:eastAsiaTheme="minorEastAsia" w:cstheme="minorEastAsia"/>
                <w:color w:val="auto"/>
                <w:sz w:val="24"/>
                <w:highlight w:val="none"/>
              </w:rPr>
            </w:pPr>
            <w:r>
              <w:rPr>
                <w:rFonts w:hint="eastAsia" w:ascii="宋体" w:hAnsi="宋体" w:eastAsia="宋体" w:cs="宋体"/>
                <w:b/>
                <w:bCs/>
                <w:i w:val="0"/>
                <w:iCs w:val="0"/>
                <w:color w:val="000000"/>
                <w:kern w:val="0"/>
                <w:sz w:val="24"/>
                <w:szCs w:val="24"/>
                <w:u w:val="none"/>
                <w:lang w:val="en-US" w:eastAsia="zh-CN" w:bidi="ar"/>
              </w:rPr>
              <w:t>定时功能：具有</w:t>
            </w:r>
          </w:p>
        </w:tc>
        <w:tc>
          <w:tcPr>
            <w:tcW w:w="1456" w:type="pct"/>
            <w:vAlign w:val="center"/>
          </w:tcPr>
          <w:p w14:paraId="648418B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CAA47B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2D3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08A9F0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6</w:t>
            </w:r>
          </w:p>
        </w:tc>
        <w:tc>
          <w:tcPr>
            <w:tcW w:w="915" w:type="pct"/>
            <w:vMerge w:val="continue"/>
            <w:tcBorders/>
            <w:vAlign w:val="center"/>
          </w:tcPr>
          <w:p w14:paraId="263722A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9748F0B">
            <w:pPr>
              <w:keepNext w:val="0"/>
              <w:keepLines w:val="0"/>
              <w:widowControl/>
              <w:suppressLineNumbers w:val="0"/>
              <w:jc w:val="center"/>
              <w:textAlignment w:val="center"/>
              <w:rPr>
                <w:rFonts w:hint="eastAsia" w:asciiTheme="minorEastAsia" w:hAnsiTheme="minorEastAsia" w:eastAsiaTheme="minorEastAsia" w:cstheme="minorEastAsia"/>
                <w:color w:val="auto"/>
                <w:sz w:val="24"/>
                <w:highlight w:val="none"/>
              </w:rPr>
            </w:pPr>
            <w:r>
              <w:rPr>
                <w:rFonts w:hint="eastAsia" w:ascii="宋体" w:hAnsi="宋体" w:eastAsia="宋体" w:cs="宋体"/>
                <w:b/>
                <w:bCs/>
                <w:i w:val="0"/>
                <w:iCs w:val="0"/>
                <w:color w:val="000000"/>
                <w:kern w:val="0"/>
                <w:sz w:val="24"/>
                <w:szCs w:val="24"/>
                <w:u w:val="none"/>
                <w:lang w:val="en-US" w:eastAsia="zh-CN" w:bidi="ar"/>
              </w:rPr>
              <w:t>设备形式：一体化推车 车轮可锁</w:t>
            </w:r>
          </w:p>
        </w:tc>
        <w:tc>
          <w:tcPr>
            <w:tcW w:w="1456" w:type="pct"/>
            <w:vAlign w:val="center"/>
          </w:tcPr>
          <w:p w14:paraId="2D3E901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13A7F96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3382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94D3014">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7</w:t>
            </w:r>
          </w:p>
        </w:tc>
        <w:tc>
          <w:tcPr>
            <w:tcW w:w="915" w:type="pct"/>
            <w:vMerge w:val="continue"/>
            <w:tcBorders/>
            <w:vAlign w:val="center"/>
          </w:tcPr>
          <w:p w14:paraId="4520412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25DB2DF">
            <w:pPr>
              <w:keepNext w:val="0"/>
              <w:keepLines w:val="0"/>
              <w:widowControl/>
              <w:suppressLineNumbers w:val="0"/>
              <w:jc w:val="center"/>
              <w:textAlignment w:val="center"/>
              <w:rPr>
                <w:rFonts w:ascii="宋体" w:hAnsi="宋体"/>
                <w:sz w:val="22"/>
                <w:szCs w:val="22"/>
              </w:rPr>
            </w:pPr>
            <w:r>
              <w:rPr>
                <w:rFonts w:hint="eastAsia" w:ascii="宋体" w:hAnsi="宋体" w:eastAsia="宋体" w:cs="宋体"/>
                <w:b/>
                <w:bCs/>
                <w:i w:val="0"/>
                <w:iCs w:val="0"/>
                <w:color w:val="000000"/>
                <w:kern w:val="0"/>
                <w:sz w:val="24"/>
                <w:szCs w:val="24"/>
                <w:u w:val="none"/>
                <w:lang w:val="en-US" w:eastAsia="zh-CN" w:bidi="ar"/>
              </w:rPr>
              <w:t xml:space="preserve">  辐射器驻波比：≤3</w:t>
            </w:r>
          </w:p>
        </w:tc>
        <w:tc>
          <w:tcPr>
            <w:tcW w:w="1456" w:type="pct"/>
            <w:vAlign w:val="center"/>
          </w:tcPr>
          <w:p w14:paraId="2EEF7DE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DFE70B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35F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B0B8E4F">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w:t>
            </w:r>
          </w:p>
        </w:tc>
        <w:tc>
          <w:tcPr>
            <w:tcW w:w="915" w:type="pct"/>
            <w:vMerge w:val="continue"/>
            <w:tcBorders/>
            <w:vAlign w:val="center"/>
          </w:tcPr>
          <w:p w14:paraId="37105D4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3C0D804">
            <w:pPr>
              <w:keepNext w:val="0"/>
              <w:keepLines w:val="0"/>
              <w:widowControl/>
              <w:suppressLineNumbers w:val="0"/>
              <w:jc w:val="center"/>
              <w:textAlignment w:val="center"/>
              <w:rPr>
                <w:rFonts w:ascii="宋体" w:hAnsi="宋体"/>
                <w:sz w:val="22"/>
                <w:szCs w:val="22"/>
              </w:rPr>
            </w:pPr>
            <w:r>
              <w:rPr>
                <w:rFonts w:hint="eastAsia" w:ascii="宋体" w:hAnsi="宋体" w:eastAsia="宋体" w:cs="宋体"/>
                <w:b/>
                <w:bCs/>
                <w:i w:val="0"/>
                <w:iCs w:val="0"/>
                <w:color w:val="000000"/>
                <w:kern w:val="0"/>
                <w:sz w:val="24"/>
                <w:szCs w:val="24"/>
                <w:u w:val="none"/>
                <w:lang w:val="en-US" w:eastAsia="zh-CN" w:bidi="ar"/>
              </w:rPr>
              <w:t>外壳泄漏：≤1mW/cm2</w:t>
            </w:r>
          </w:p>
        </w:tc>
        <w:tc>
          <w:tcPr>
            <w:tcW w:w="1456" w:type="pct"/>
            <w:vAlign w:val="center"/>
          </w:tcPr>
          <w:p w14:paraId="18A87F5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48208C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30AD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879C0D4">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9</w:t>
            </w:r>
          </w:p>
        </w:tc>
        <w:tc>
          <w:tcPr>
            <w:tcW w:w="915" w:type="pct"/>
            <w:vMerge w:val="continue"/>
            <w:tcBorders/>
            <w:vAlign w:val="center"/>
          </w:tcPr>
          <w:p w14:paraId="17BB051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5257A67A">
            <w:pPr>
              <w:keepNext w:val="0"/>
              <w:keepLines w:val="0"/>
              <w:widowControl/>
              <w:suppressLineNumbers w:val="0"/>
              <w:jc w:val="center"/>
              <w:textAlignment w:val="center"/>
              <w:rPr>
                <w:rFonts w:ascii="宋体" w:hAnsi="宋体"/>
                <w:sz w:val="22"/>
                <w:szCs w:val="22"/>
              </w:rPr>
            </w:pPr>
            <w:r>
              <w:rPr>
                <w:rFonts w:hint="eastAsia" w:ascii="宋体" w:hAnsi="宋体" w:eastAsia="宋体" w:cs="宋体"/>
                <w:b/>
                <w:bCs/>
                <w:i w:val="0"/>
                <w:iCs w:val="0"/>
                <w:color w:val="000000"/>
                <w:kern w:val="0"/>
                <w:sz w:val="24"/>
                <w:szCs w:val="24"/>
                <w:u w:val="none"/>
                <w:lang w:val="en-US" w:eastAsia="zh-CN" w:bidi="ar"/>
              </w:rPr>
              <w:t>安全保护：具有过载、过热、闭锁、误操作等保护功能</w:t>
            </w:r>
          </w:p>
        </w:tc>
        <w:tc>
          <w:tcPr>
            <w:tcW w:w="1456" w:type="pct"/>
            <w:vAlign w:val="center"/>
          </w:tcPr>
          <w:p w14:paraId="6D555E2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1D86B30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bl>
    <w:p w14:paraId="238C50E9">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rPr>
      </w:pPr>
    </w:p>
    <w:p w14:paraId="2A2BD666">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rPr>
      </w:pPr>
    </w:p>
    <w:p w14:paraId="4690BE1B">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p>
    <w:p w14:paraId="15B11012">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5274B668">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p>
    <w:p w14:paraId="1E28942B">
      <w:pPr>
        <w:pStyle w:val="3"/>
        <w:pageBreakBefore w:val="0"/>
        <w:kinsoku/>
        <w:overflowPunct/>
        <w:topLinePunct w:val="0"/>
        <w:bidi w:val="0"/>
        <w:spacing w:line="360" w:lineRule="auto"/>
        <w:ind w:left="0" w:leftChars="0" w:right="0" w:rightChars="0" w:firstLineChars="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lang w:val="en-US" w:eastAsia="zh-CN"/>
        </w:rPr>
        <w:t>注：投标人应对所承诺的各类参数真实性负责，如中标后被质疑虚假应标且被查实的或在履约过程中被发现虚假响应的，投标人将承担包括但不限于扣除履约保证金（如有）、处以罚金和上报相关主管部门纳入不良信用记录等一切后果及法律责任。</w:t>
      </w:r>
    </w:p>
    <w:p w14:paraId="38FD287C"/>
    <w:p w14:paraId="6321918C"/>
    <w:p w14:paraId="60CF6F0F"/>
    <w:p w14:paraId="59E65DB2"/>
    <w:p w14:paraId="040B5CC4"/>
    <w:p w14:paraId="672959AF">
      <w:pPr>
        <w:pageBreakBefore w:val="0"/>
        <w:kinsoku/>
        <w:overflowPunct/>
        <w:topLinePunct w:val="0"/>
        <w:bidi w:val="0"/>
        <w:spacing w:line="360" w:lineRule="auto"/>
        <w:ind w:right="0" w:rightChars="0"/>
        <w:jc w:val="center"/>
        <w:textAlignment w:val="auto"/>
        <w:outlineLvl w:val="2"/>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技术</w:t>
      </w:r>
      <w:r>
        <w:rPr>
          <w:rFonts w:hint="eastAsia" w:asciiTheme="minorEastAsia" w:hAnsiTheme="minorEastAsia" w:eastAsiaTheme="minorEastAsia" w:cstheme="minorEastAsia"/>
          <w:b/>
          <w:color w:val="auto"/>
          <w:sz w:val="44"/>
          <w:szCs w:val="44"/>
          <w:highlight w:val="none"/>
          <w:lang w:val="en-US" w:eastAsia="zh-CN"/>
        </w:rPr>
        <w:t>参数</w:t>
      </w:r>
      <w:r>
        <w:rPr>
          <w:rFonts w:hint="eastAsia" w:asciiTheme="minorEastAsia" w:hAnsiTheme="minorEastAsia" w:eastAsiaTheme="minorEastAsia" w:cstheme="minorEastAsia"/>
          <w:b/>
          <w:color w:val="auto"/>
          <w:sz w:val="44"/>
          <w:szCs w:val="44"/>
          <w:highlight w:val="none"/>
        </w:rPr>
        <w:t>响应表</w:t>
      </w:r>
    </w:p>
    <w:p w14:paraId="093B8F1A">
      <w:pPr>
        <w:pageBreakBefore w:val="0"/>
        <w:kinsoku/>
        <w:overflowPunct/>
        <w:topLinePunct w:val="0"/>
        <w:bidi w:val="0"/>
        <w:spacing w:line="360" w:lineRule="auto"/>
        <w:ind w:right="0" w:rightChars="0"/>
        <w:jc w:val="left"/>
        <w:textAlignment w:val="auto"/>
        <w:outlineLvl w:val="2"/>
        <w:rPr>
          <w:rFonts w:hint="eastAsia" w:asciiTheme="minorEastAsia" w:hAnsiTheme="minorEastAsia" w:eastAsiaTheme="minorEastAsia" w:cstheme="minorEastAsia"/>
          <w:b/>
          <w:color w:val="auto"/>
          <w:sz w:val="24"/>
          <w:highlight w:val="none"/>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60"/>
        <w:gridCol w:w="2864"/>
        <w:gridCol w:w="2482"/>
        <w:gridCol w:w="857"/>
      </w:tblGrid>
      <w:tr w14:paraId="51C2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5" w:type="pct"/>
            <w:vAlign w:val="center"/>
          </w:tcPr>
          <w:p w14:paraId="2956F5BB">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915" w:type="pct"/>
            <w:vAlign w:val="center"/>
          </w:tcPr>
          <w:p w14:paraId="27680FFB">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货物名称</w:t>
            </w:r>
          </w:p>
        </w:tc>
        <w:tc>
          <w:tcPr>
            <w:tcW w:w="1680" w:type="pct"/>
            <w:vAlign w:val="center"/>
          </w:tcPr>
          <w:p w14:paraId="14DDDAED">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招标文件规定的技术参数及要求</w:t>
            </w:r>
          </w:p>
        </w:tc>
        <w:tc>
          <w:tcPr>
            <w:tcW w:w="1456" w:type="pct"/>
            <w:vAlign w:val="center"/>
          </w:tcPr>
          <w:p w14:paraId="29CA66CE">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所投产品的品牌、型号及技术参数</w:t>
            </w:r>
          </w:p>
        </w:tc>
        <w:tc>
          <w:tcPr>
            <w:tcW w:w="502" w:type="pct"/>
            <w:vAlign w:val="center"/>
          </w:tcPr>
          <w:p w14:paraId="293CBCC5">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偏离说明</w:t>
            </w:r>
          </w:p>
        </w:tc>
      </w:tr>
      <w:tr w14:paraId="331A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A5BEEE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915" w:type="pct"/>
            <w:vMerge w:val="restart"/>
            <w:vAlign w:val="center"/>
          </w:tcPr>
          <w:p w14:paraId="2C9E5061">
            <w:pPr>
              <w:spacing w:line="300" w:lineRule="auto"/>
              <w:jc w:val="center"/>
              <w:rPr>
                <w:b/>
                <w:bCs/>
                <w:sz w:val="36"/>
                <w:szCs w:val="21"/>
              </w:rPr>
            </w:pPr>
            <w:r>
              <w:rPr>
                <w:rFonts w:hint="eastAsia"/>
                <w:b/>
                <w:bCs/>
                <w:sz w:val="36"/>
                <w:szCs w:val="21"/>
              </w:rPr>
              <w:t>中医定向透药治疗仪</w:t>
            </w:r>
            <w:r>
              <w:rPr>
                <w:rFonts w:hint="eastAsia"/>
                <w:b/>
                <w:bCs/>
                <w:sz w:val="36"/>
                <w:szCs w:val="21"/>
                <w:lang w:val="en-US" w:eastAsia="zh-CN"/>
              </w:rPr>
              <w:t>参数</w:t>
            </w:r>
          </w:p>
          <w:p w14:paraId="1337658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6DED0DF">
            <w:pPr>
              <w:keepNext w:val="0"/>
              <w:keepLines w:val="0"/>
              <w:widowControl/>
              <w:suppressLineNumbers w:val="0"/>
              <w:jc w:val="left"/>
              <w:textAlignment w:val="center"/>
              <w:rPr>
                <w:rFonts w:hint="default" w:asciiTheme="minorEastAsia" w:hAnsiTheme="minorEastAsia" w:eastAsiaTheme="minorEastAsia" w:cstheme="minorEastAsia"/>
                <w:b/>
                <w:bCs/>
                <w:color w:val="auto"/>
                <w:sz w:val="24"/>
                <w:highlight w:val="none"/>
                <w:lang w:val="en-US"/>
              </w:rPr>
            </w:pPr>
            <w:r>
              <w:rPr>
                <w:rFonts w:hint="eastAsia" w:ascii="宋体" w:hAnsi="宋体" w:eastAsia="宋体" w:cs="宋体"/>
                <w:b/>
                <w:bCs/>
                <w:i w:val="0"/>
                <w:iCs w:val="0"/>
                <w:color w:val="000000"/>
                <w:kern w:val="0"/>
                <w:sz w:val="24"/>
                <w:szCs w:val="24"/>
                <w:u w:val="none"/>
                <w:lang w:val="en-US" w:eastAsia="zh-CN" w:bidi="ar"/>
              </w:rPr>
              <w:t>治疗时间：0-60分钟可调，治疗时间根据临床需要而定</w:t>
            </w:r>
          </w:p>
        </w:tc>
        <w:tc>
          <w:tcPr>
            <w:tcW w:w="1456" w:type="pct"/>
            <w:vAlign w:val="center"/>
          </w:tcPr>
          <w:p w14:paraId="14359CE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819ABF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570C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0863EA9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915" w:type="pct"/>
            <w:vMerge w:val="continue"/>
            <w:vAlign w:val="center"/>
          </w:tcPr>
          <w:p w14:paraId="16DFB3F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3BEFC368">
            <w:pPr>
              <w:keepNext w:val="0"/>
              <w:keepLines w:val="0"/>
              <w:widowControl/>
              <w:suppressLineNumbers w:val="0"/>
              <w:jc w:val="left"/>
              <w:textAlignment w:val="center"/>
              <w:rPr>
                <w:rFonts w:hint="default" w:asciiTheme="minorEastAsia" w:hAnsiTheme="minorEastAsia" w:eastAsiaTheme="minorEastAsia" w:cstheme="minorEastAsia"/>
                <w:b/>
                <w:bCs/>
                <w:color w:val="auto"/>
                <w:sz w:val="24"/>
                <w:highlight w:val="none"/>
                <w:lang w:val="en-US"/>
              </w:rPr>
            </w:pPr>
            <w:r>
              <w:rPr>
                <w:rFonts w:hint="eastAsia" w:ascii="宋体" w:hAnsi="宋体" w:eastAsia="宋体" w:cs="宋体"/>
                <w:b/>
                <w:bCs/>
                <w:i w:val="0"/>
                <w:iCs w:val="0"/>
                <w:color w:val="000000"/>
                <w:kern w:val="0"/>
                <w:sz w:val="24"/>
                <w:szCs w:val="24"/>
                <w:u w:val="none"/>
                <w:lang w:val="en-US" w:eastAsia="zh-CN" w:bidi="ar"/>
              </w:rPr>
              <w:t>治疗模式：具有电疗 、热疗、药物导入等多种治疗模式且各种模式下治疗强度可调节</w:t>
            </w:r>
          </w:p>
        </w:tc>
        <w:tc>
          <w:tcPr>
            <w:tcW w:w="1456" w:type="pct"/>
            <w:vAlign w:val="center"/>
          </w:tcPr>
          <w:p w14:paraId="700FCA3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67F9FAD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57B3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1ACA168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915" w:type="pct"/>
            <w:vMerge w:val="continue"/>
            <w:vAlign w:val="center"/>
          </w:tcPr>
          <w:p w14:paraId="302F082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45FD0705">
            <w:pPr>
              <w:keepNext w:val="0"/>
              <w:keepLines w:val="0"/>
              <w:widowControl/>
              <w:suppressLineNumbers w:val="0"/>
              <w:jc w:val="left"/>
              <w:textAlignment w:val="center"/>
              <w:rPr>
                <w:rFonts w:hint="eastAsia" w:asciiTheme="minorEastAsia" w:hAnsiTheme="minorEastAsia" w:eastAsiaTheme="minorEastAsia" w:cstheme="minorEastAsia"/>
                <w:b/>
                <w:bCs/>
                <w:color w:val="auto"/>
                <w:sz w:val="24"/>
                <w:highlight w:val="none"/>
              </w:rPr>
            </w:pPr>
            <w:r>
              <w:rPr>
                <w:rFonts w:hint="eastAsia" w:ascii="宋体" w:hAnsi="宋体" w:eastAsia="宋体" w:cs="宋体"/>
                <w:b/>
                <w:bCs/>
                <w:i w:val="0"/>
                <w:iCs w:val="0"/>
                <w:color w:val="000000"/>
                <w:kern w:val="0"/>
                <w:sz w:val="24"/>
                <w:szCs w:val="24"/>
                <w:u w:val="none"/>
                <w:lang w:val="en-US" w:eastAsia="zh-CN" w:bidi="ar"/>
              </w:rPr>
              <w:t>治疗处方：具备多种治疗处方功能可选</w:t>
            </w:r>
          </w:p>
        </w:tc>
        <w:tc>
          <w:tcPr>
            <w:tcW w:w="1456" w:type="pct"/>
            <w:vAlign w:val="center"/>
          </w:tcPr>
          <w:p w14:paraId="1BBBDFC4">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543A980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37D9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50D43A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915" w:type="pct"/>
            <w:vMerge w:val="continue"/>
            <w:vAlign w:val="center"/>
          </w:tcPr>
          <w:p w14:paraId="4EE7674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7E5155F5">
            <w:pPr>
              <w:keepNext w:val="0"/>
              <w:keepLines w:val="0"/>
              <w:widowControl/>
              <w:suppressLineNumbers w:val="0"/>
              <w:jc w:val="left"/>
              <w:textAlignment w:val="center"/>
              <w:rPr>
                <w:rFonts w:hint="eastAsia" w:asciiTheme="minorEastAsia" w:hAnsiTheme="minorEastAsia" w:eastAsiaTheme="minorEastAsia" w:cstheme="minorEastAsia"/>
                <w:b/>
                <w:bCs/>
                <w:color w:val="auto"/>
                <w:sz w:val="24"/>
                <w:highlight w:val="none"/>
              </w:rPr>
            </w:pPr>
            <w:r>
              <w:rPr>
                <w:rFonts w:hint="eastAsia" w:ascii="宋体" w:hAnsi="宋体" w:eastAsia="宋体" w:cs="宋体"/>
                <w:b/>
                <w:bCs/>
                <w:i w:val="0"/>
                <w:iCs w:val="0"/>
                <w:color w:val="000000"/>
                <w:kern w:val="0"/>
                <w:sz w:val="24"/>
                <w:szCs w:val="24"/>
                <w:u w:val="none"/>
                <w:lang w:val="en-US" w:eastAsia="zh-CN" w:bidi="ar"/>
              </w:rPr>
              <w:t>显示调节：治疗模式下具备实时显示治疗时间、治疗强度、功能调节等</w:t>
            </w:r>
          </w:p>
        </w:tc>
        <w:tc>
          <w:tcPr>
            <w:tcW w:w="1456" w:type="pct"/>
            <w:vAlign w:val="center"/>
          </w:tcPr>
          <w:p w14:paraId="5969E3A0">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23668CA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DFB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069FC93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5</w:t>
            </w:r>
          </w:p>
        </w:tc>
        <w:tc>
          <w:tcPr>
            <w:tcW w:w="915" w:type="pct"/>
            <w:vMerge w:val="continue"/>
            <w:vAlign w:val="center"/>
          </w:tcPr>
          <w:p w14:paraId="0003EDD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45A86574">
            <w:pPr>
              <w:keepNext w:val="0"/>
              <w:keepLines w:val="0"/>
              <w:widowControl/>
              <w:suppressLineNumbers w:val="0"/>
              <w:jc w:val="left"/>
              <w:textAlignment w:val="center"/>
              <w:rPr>
                <w:rFonts w:hint="eastAsia" w:asciiTheme="minorEastAsia" w:hAnsiTheme="minorEastAsia" w:eastAsiaTheme="minorEastAsia" w:cstheme="minorEastAsia"/>
                <w:b/>
                <w:bCs/>
                <w:color w:val="auto"/>
                <w:sz w:val="24"/>
                <w:highlight w:val="none"/>
              </w:rPr>
            </w:pPr>
            <w:r>
              <w:rPr>
                <w:rFonts w:hint="eastAsia" w:ascii="宋体" w:hAnsi="宋体" w:eastAsia="宋体" w:cs="宋体"/>
                <w:b/>
                <w:bCs/>
                <w:i w:val="0"/>
                <w:iCs w:val="0"/>
                <w:color w:val="000000"/>
                <w:kern w:val="0"/>
                <w:sz w:val="24"/>
                <w:szCs w:val="24"/>
                <w:u w:val="none"/>
                <w:lang w:val="en-US" w:eastAsia="zh-CN" w:bidi="ar"/>
              </w:rPr>
              <w:t>输出和保护功能：输出电流自动稳定在所调定的值上。治疗仪具有电极脱落、输出闭锁、输出断路、短路及超温保护等多项安全保护功能</w:t>
            </w:r>
          </w:p>
        </w:tc>
        <w:tc>
          <w:tcPr>
            <w:tcW w:w="1456" w:type="pct"/>
            <w:vAlign w:val="center"/>
          </w:tcPr>
          <w:p w14:paraId="610D291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0DE775E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49BF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06DB50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6</w:t>
            </w:r>
          </w:p>
        </w:tc>
        <w:tc>
          <w:tcPr>
            <w:tcW w:w="915" w:type="pct"/>
            <w:vMerge w:val="continue"/>
            <w:vAlign w:val="center"/>
          </w:tcPr>
          <w:p w14:paraId="0E947F3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03B09963">
            <w:pPr>
              <w:keepNext w:val="0"/>
              <w:keepLines w:val="0"/>
              <w:widowControl/>
              <w:suppressLineNumbers w:val="0"/>
              <w:jc w:val="left"/>
              <w:textAlignment w:val="center"/>
              <w:rPr>
                <w:rFonts w:hint="eastAsia" w:asciiTheme="minorEastAsia" w:hAnsiTheme="minorEastAsia" w:eastAsiaTheme="minorEastAsia" w:cstheme="minorEastAsia"/>
                <w:b/>
                <w:bCs/>
                <w:color w:val="auto"/>
                <w:sz w:val="24"/>
                <w:highlight w:val="none"/>
              </w:rPr>
            </w:pPr>
            <w:r>
              <w:rPr>
                <w:rFonts w:hint="eastAsia" w:ascii="宋体" w:hAnsi="宋体" w:eastAsia="宋体" w:cs="宋体"/>
                <w:b/>
                <w:bCs/>
                <w:i w:val="0"/>
                <w:iCs w:val="0"/>
                <w:color w:val="000000"/>
                <w:kern w:val="0"/>
                <w:sz w:val="24"/>
                <w:szCs w:val="24"/>
                <w:u w:val="none"/>
                <w:lang w:val="en-US" w:eastAsia="zh-CN" w:bidi="ar"/>
              </w:rPr>
              <w:t>加热模式：热疗温度37℃-50℃之间 可多档调节温度强度</w:t>
            </w:r>
          </w:p>
        </w:tc>
        <w:tc>
          <w:tcPr>
            <w:tcW w:w="1456" w:type="pct"/>
            <w:vAlign w:val="center"/>
          </w:tcPr>
          <w:p w14:paraId="143E55B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424D0D2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3053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39CC3FA1">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7</w:t>
            </w:r>
          </w:p>
        </w:tc>
        <w:tc>
          <w:tcPr>
            <w:tcW w:w="915" w:type="pct"/>
            <w:vMerge w:val="continue"/>
            <w:vAlign w:val="center"/>
          </w:tcPr>
          <w:p w14:paraId="32D6660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6B02DF6C">
            <w:pPr>
              <w:keepNext w:val="0"/>
              <w:keepLines w:val="0"/>
              <w:widowControl/>
              <w:suppressLineNumbers w:val="0"/>
              <w:jc w:val="left"/>
              <w:textAlignment w:val="center"/>
              <w:rPr>
                <w:rFonts w:ascii="宋体" w:hAnsi="宋体"/>
                <w:b/>
                <w:bCs/>
                <w:sz w:val="22"/>
                <w:szCs w:val="22"/>
              </w:rPr>
            </w:pPr>
            <w:r>
              <w:rPr>
                <w:rFonts w:hint="eastAsia" w:ascii="宋体" w:hAnsi="宋体" w:eastAsia="宋体" w:cs="宋体"/>
                <w:b/>
                <w:bCs/>
                <w:i w:val="0"/>
                <w:iCs w:val="0"/>
                <w:color w:val="000000"/>
                <w:kern w:val="0"/>
                <w:sz w:val="22"/>
                <w:szCs w:val="22"/>
                <w:u w:val="none"/>
                <w:lang w:val="en-US" w:eastAsia="zh-CN" w:bidi="ar"/>
              </w:rPr>
              <w:t>输出波形：具备多种波形</w:t>
            </w:r>
          </w:p>
        </w:tc>
        <w:tc>
          <w:tcPr>
            <w:tcW w:w="1456" w:type="pct"/>
            <w:vAlign w:val="center"/>
          </w:tcPr>
          <w:p w14:paraId="52A9DD0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3AD97E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6F76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2BFE12FF">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w:t>
            </w:r>
          </w:p>
        </w:tc>
        <w:tc>
          <w:tcPr>
            <w:tcW w:w="915" w:type="pct"/>
            <w:vMerge w:val="continue"/>
            <w:vAlign w:val="center"/>
          </w:tcPr>
          <w:p w14:paraId="37EEFAD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D4D4D85">
            <w:pPr>
              <w:keepNext w:val="0"/>
              <w:keepLines w:val="0"/>
              <w:widowControl/>
              <w:suppressLineNumbers w:val="0"/>
              <w:jc w:val="left"/>
              <w:textAlignment w:val="center"/>
              <w:rPr>
                <w:rFonts w:ascii="宋体" w:hAnsi="宋体"/>
                <w:b/>
                <w:bCs/>
                <w:sz w:val="22"/>
                <w:szCs w:val="22"/>
              </w:rPr>
            </w:pPr>
            <w:r>
              <w:rPr>
                <w:rFonts w:hint="eastAsia" w:ascii="宋体" w:hAnsi="宋体" w:eastAsia="宋体" w:cs="宋体"/>
                <w:b/>
                <w:bCs/>
                <w:i w:val="0"/>
                <w:iCs w:val="0"/>
                <w:color w:val="000000"/>
                <w:kern w:val="0"/>
                <w:sz w:val="24"/>
                <w:szCs w:val="24"/>
                <w:u w:val="none"/>
                <w:lang w:val="en-US" w:eastAsia="zh-CN" w:bidi="ar"/>
              </w:rPr>
              <w:t>输出通道：≥1通道</w:t>
            </w:r>
          </w:p>
        </w:tc>
        <w:tc>
          <w:tcPr>
            <w:tcW w:w="1456" w:type="pct"/>
            <w:vAlign w:val="center"/>
          </w:tcPr>
          <w:p w14:paraId="77AE7DB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0963931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bl>
    <w:p w14:paraId="6B29907E">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rPr>
      </w:pPr>
    </w:p>
    <w:p w14:paraId="27BFBC80">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rPr>
      </w:pPr>
    </w:p>
    <w:p w14:paraId="16B28FC7">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p>
    <w:p w14:paraId="67A1A621">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3380CDAD">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p>
    <w:p w14:paraId="0C92E7BD">
      <w:pPr>
        <w:pStyle w:val="3"/>
        <w:pageBreakBefore w:val="0"/>
        <w:kinsoku/>
        <w:overflowPunct/>
        <w:topLinePunct w:val="0"/>
        <w:bidi w:val="0"/>
        <w:spacing w:line="360" w:lineRule="auto"/>
        <w:ind w:left="0" w:leftChars="0" w:right="0" w:rightChars="0" w:firstLineChars="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lang w:val="en-US" w:eastAsia="zh-CN"/>
        </w:rPr>
        <w:t>注：投标人应对所承诺的各类参数真实性负责，如中标后被质疑虚假应标且被查实的或在履约过程中被发现虚假响应的，投标人将承担包括但不限于扣除履约保证金（如有）、处以罚金和上报相关主管部门纳入不良信用记录等一切后果及法律责任。</w:t>
      </w:r>
    </w:p>
    <w:p w14:paraId="6C789AD1">
      <w:pPr>
        <w:pageBreakBefore w:val="0"/>
        <w:kinsoku/>
        <w:overflowPunct/>
        <w:topLinePunct w:val="0"/>
        <w:bidi w:val="0"/>
        <w:spacing w:line="360" w:lineRule="auto"/>
        <w:ind w:right="0" w:rightChars="0"/>
        <w:jc w:val="center"/>
        <w:textAlignment w:val="auto"/>
        <w:outlineLvl w:val="2"/>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技术</w:t>
      </w:r>
      <w:r>
        <w:rPr>
          <w:rFonts w:hint="eastAsia" w:asciiTheme="minorEastAsia" w:hAnsiTheme="minorEastAsia" w:eastAsiaTheme="minorEastAsia" w:cstheme="minorEastAsia"/>
          <w:b/>
          <w:color w:val="auto"/>
          <w:sz w:val="44"/>
          <w:szCs w:val="44"/>
          <w:highlight w:val="none"/>
          <w:lang w:val="en-US" w:eastAsia="zh-CN"/>
        </w:rPr>
        <w:t>参数</w:t>
      </w:r>
      <w:r>
        <w:rPr>
          <w:rFonts w:hint="eastAsia" w:asciiTheme="minorEastAsia" w:hAnsiTheme="minorEastAsia" w:eastAsiaTheme="minorEastAsia" w:cstheme="minorEastAsia"/>
          <w:b/>
          <w:color w:val="auto"/>
          <w:sz w:val="44"/>
          <w:szCs w:val="44"/>
          <w:highlight w:val="none"/>
        </w:rPr>
        <w:t>响应表</w:t>
      </w:r>
    </w:p>
    <w:p w14:paraId="0C626A65">
      <w:pPr>
        <w:pageBreakBefore w:val="0"/>
        <w:kinsoku/>
        <w:overflowPunct/>
        <w:topLinePunct w:val="0"/>
        <w:bidi w:val="0"/>
        <w:spacing w:line="360" w:lineRule="auto"/>
        <w:ind w:right="0" w:rightChars="0"/>
        <w:jc w:val="left"/>
        <w:textAlignment w:val="auto"/>
        <w:outlineLvl w:val="2"/>
        <w:rPr>
          <w:rFonts w:hint="eastAsia" w:asciiTheme="minorEastAsia" w:hAnsiTheme="minorEastAsia" w:eastAsiaTheme="minorEastAsia" w:cstheme="minorEastAsia"/>
          <w:b/>
          <w:color w:val="auto"/>
          <w:sz w:val="24"/>
          <w:highlight w:val="none"/>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60"/>
        <w:gridCol w:w="2864"/>
        <w:gridCol w:w="2482"/>
        <w:gridCol w:w="857"/>
      </w:tblGrid>
      <w:tr w14:paraId="7FB9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5" w:type="pct"/>
            <w:vAlign w:val="center"/>
          </w:tcPr>
          <w:p w14:paraId="0F425E12">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915" w:type="pct"/>
            <w:vAlign w:val="center"/>
          </w:tcPr>
          <w:p w14:paraId="1F48589D">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货物名称</w:t>
            </w:r>
          </w:p>
        </w:tc>
        <w:tc>
          <w:tcPr>
            <w:tcW w:w="1680" w:type="pct"/>
            <w:vAlign w:val="center"/>
          </w:tcPr>
          <w:p w14:paraId="632C946A">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招标文件规定的技术参数及要求</w:t>
            </w:r>
          </w:p>
        </w:tc>
        <w:tc>
          <w:tcPr>
            <w:tcW w:w="1456" w:type="pct"/>
            <w:vAlign w:val="center"/>
          </w:tcPr>
          <w:p w14:paraId="66483668">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所投产品的品牌、型号及技术参数</w:t>
            </w:r>
          </w:p>
        </w:tc>
        <w:tc>
          <w:tcPr>
            <w:tcW w:w="502" w:type="pct"/>
            <w:vAlign w:val="center"/>
          </w:tcPr>
          <w:p w14:paraId="43A3D055">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偏离说明</w:t>
            </w:r>
          </w:p>
        </w:tc>
      </w:tr>
      <w:tr w14:paraId="3361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2A0C39B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915" w:type="pct"/>
            <w:vMerge w:val="restart"/>
            <w:vAlign w:val="center"/>
          </w:tcPr>
          <w:p w14:paraId="78540BAA">
            <w:pPr>
              <w:spacing w:line="300" w:lineRule="auto"/>
              <w:jc w:val="center"/>
              <w:rPr>
                <w:b/>
                <w:bCs/>
                <w:sz w:val="36"/>
                <w:szCs w:val="21"/>
              </w:rPr>
            </w:pPr>
            <w:r>
              <w:rPr>
                <w:rFonts w:hint="eastAsia"/>
                <w:b/>
                <w:bCs/>
                <w:sz w:val="36"/>
                <w:szCs w:val="28"/>
                <w:lang w:eastAsia="zh-CN"/>
              </w:rPr>
              <w:t>电灼光治疗仪</w:t>
            </w:r>
            <w:r>
              <w:rPr>
                <w:rFonts w:hint="eastAsia"/>
                <w:b/>
                <w:bCs/>
                <w:sz w:val="36"/>
                <w:szCs w:val="28"/>
              </w:rPr>
              <w:t>技术参数</w:t>
            </w:r>
            <w:r>
              <w:rPr>
                <w:rFonts w:hint="eastAsia"/>
                <w:b/>
                <w:bCs/>
                <w:sz w:val="36"/>
                <w:szCs w:val="21"/>
                <w:lang w:val="en-US" w:eastAsia="zh-CN"/>
              </w:rPr>
              <w:t>参数</w:t>
            </w:r>
          </w:p>
          <w:p w14:paraId="42133DC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62F0B589">
            <w:pPr>
              <w:keepNext w:val="0"/>
              <w:keepLines w:val="0"/>
              <w:widowControl/>
              <w:suppressLineNumbers w:val="0"/>
              <w:jc w:val="left"/>
              <w:textAlignment w:val="center"/>
              <w:rPr>
                <w:rFonts w:hint="default" w:asciiTheme="minorEastAsia" w:hAnsiTheme="minorEastAsia" w:eastAsiaTheme="minorEastAsia" w:cstheme="minorEastAsia"/>
                <w:b/>
                <w:bCs/>
                <w:color w:val="auto"/>
                <w:sz w:val="24"/>
                <w:highlight w:val="none"/>
                <w:lang w:val="en-US"/>
              </w:rPr>
            </w:pPr>
            <w:r>
              <w:rPr>
                <w:rFonts w:hint="default" w:asciiTheme="minorEastAsia" w:hAnsiTheme="minorEastAsia" w:eastAsiaTheme="minorEastAsia" w:cstheme="minorEastAsia"/>
                <w:b/>
                <w:bCs/>
                <w:color w:val="auto"/>
                <w:sz w:val="24"/>
                <w:highlight w:val="none"/>
                <w:lang w:val="en-US" w:eastAsia="zh-CN"/>
              </w:rPr>
              <w:t>设备具有</w:t>
            </w:r>
            <w:r>
              <w:rPr>
                <w:rFonts w:hint="default" w:asciiTheme="minorEastAsia" w:hAnsiTheme="minorEastAsia" w:eastAsiaTheme="minorEastAsia" w:cstheme="minorEastAsia"/>
                <w:b/>
                <w:bCs/>
                <w:color w:val="auto"/>
                <w:sz w:val="24"/>
                <w:highlight w:val="none"/>
                <w:lang w:val="en-US"/>
              </w:rPr>
              <w:t>手持式治疗头、支架式治疗头、一次性使用单极手术电极。</w:t>
            </w:r>
          </w:p>
        </w:tc>
        <w:tc>
          <w:tcPr>
            <w:tcW w:w="1456" w:type="pct"/>
            <w:vAlign w:val="center"/>
          </w:tcPr>
          <w:p w14:paraId="093D251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65B4787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1B1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352CEFF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915" w:type="pct"/>
            <w:vMerge w:val="continue"/>
            <w:tcBorders/>
            <w:vAlign w:val="center"/>
          </w:tcPr>
          <w:p w14:paraId="11E02891">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3D4410BF">
            <w:pPr>
              <w:keepNext w:val="0"/>
              <w:keepLines w:val="0"/>
              <w:widowControl/>
              <w:suppressLineNumbers w:val="0"/>
              <w:jc w:val="left"/>
              <w:textAlignment w:val="center"/>
              <w:rPr>
                <w:rFonts w:hint="default" w:asciiTheme="minorEastAsia" w:hAnsiTheme="minorEastAsia" w:eastAsiaTheme="minorEastAsia" w:cstheme="minorEastAsia"/>
                <w:b/>
                <w:bCs/>
                <w:color w:val="auto"/>
                <w:sz w:val="24"/>
                <w:highlight w:val="none"/>
                <w:lang w:val="en-US"/>
              </w:rPr>
            </w:pPr>
            <w:r>
              <w:rPr>
                <w:rFonts w:hint="default" w:asciiTheme="minorEastAsia" w:hAnsiTheme="minorEastAsia" w:eastAsiaTheme="minorEastAsia" w:cstheme="minorEastAsia"/>
                <w:b/>
                <w:bCs/>
                <w:color w:val="auto"/>
                <w:sz w:val="24"/>
                <w:highlight w:val="none"/>
                <w:lang w:val="en-US"/>
              </w:rPr>
              <w:t>红外光波长峰值范围在：0.8μm～3.0μm之间</w:t>
            </w:r>
          </w:p>
        </w:tc>
        <w:tc>
          <w:tcPr>
            <w:tcW w:w="1456" w:type="pct"/>
            <w:vAlign w:val="center"/>
          </w:tcPr>
          <w:p w14:paraId="50F1D90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FA844C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35E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BB370A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915" w:type="pct"/>
            <w:vMerge w:val="continue"/>
            <w:tcBorders/>
            <w:vAlign w:val="center"/>
          </w:tcPr>
          <w:p w14:paraId="5556AB4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3E27A5D2">
            <w:pPr>
              <w:keepNext w:val="0"/>
              <w:keepLines w:val="0"/>
              <w:widowControl/>
              <w:suppressLineNumbers w:val="0"/>
              <w:jc w:val="left"/>
              <w:textAlignment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治疗头外罩表面温度：≤ 41℃</w:t>
            </w:r>
          </w:p>
        </w:tc>
        <w:tc>
          <w:tcPr>
            <w:tcW w:w="1456" w:type="pct"/>
            <w:vAlign w:val="center"/>
          </w:tcPr>
          <w:p w14:paraId="4CAF3C32">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2E84826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686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111EF55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915" w:type="pct"/>
            <w:vMerge w:val="continue"/>
            <w:tcBorders/>
            <w:vAlign w:val="center"/>
          </w:tcPr>
          <w:p w14:paraId="74CA049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3A70FE7E">
            <w:pPr>
              <w:keepNext w:val="0"/>
              <w:keepLines w:val="0"/>
              <w:widowControl/>
              <w:suppressLineNumbers w:val="0"/>
              <w:jc w:val="left"/>
              <w:textAlignment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治疗仪连续工作时间：≥ 4h</w:t>
            </w:r>
          </w:p>
        </w:tc>
        <w:tc>
          <w:tcPr>
            <w:tcW w:w="1456" w:type="pct"/>
            <w:vAlign w:val="center"/>
          </w:tcPr>
          <w:p w14:paraId="1D57BBCD">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17AAB6B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C75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5134136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5</w:t>
            </w:r>
          </w:p>
        </w:tc>
        <w:tc>
          <w:tcPr>
            <w:tcW w:w="915" w:type="pct"/>
            <w:vMerge w:val="continue"/>
            <w:tcBorders/>
            <w:vAlign w:val="center"/>
          </w:tcPr>
          <w:p w14:paraId="40212CC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03E7474B">
            <w:pPr>
              <w:keepNext w:val="0"/>
              <w:keepLines w:val="0"/>
              <w:widowControl/>
              <w:suppressLineNumbers w:val="0"/>
              <w:jc w:val="left"/>
              <w:textAlignment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手持式治疗头输出光功率 ：1～20W 可调</w:t>
            </w:r>
          </w:p>
        </w:tc>
        <w:tc>
          <w:tcPr>
            <w:tcW w:w="1456" w:type="pct"/>
            <w:vAlign w:val="center"/>
          </w:tcPr>
          <w:p w14:paraId="73E8D7C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DE0047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3A89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478BB76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6</w:t>
            </w:r>
          </w:p>
        </w:tc>
        <w:tc>
          <w:tcPr>
            <w:tcW w:w="915" w:type="pct"/>
            <w:vMerge w:val="continue"/>
            <w:tcBorders/>
            <w:vAlign w:val="center"/>
          </w:tcPr>
          <w:p w14:paraId="12146F7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34C339A5">
            <w:pPr>
              <w:keepNext w:val="0"/>
              <w:keepLines w:val="0"/>
              <w:widowControl/>
              <w:suppressLineNumbers w:val="0"/>
              <w:jc w:val="left"/>
              <w:textAlignment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 xml:space="preserve">手持式治疗头光输出口径为： </w:t>
            </w:r>
            <w:r>
              <w:rPr>
                <w:rFonts w:hint="eastAsia" w:asciiTheme="minorEastAsia" w:hAnsiTheme="minorEastAsia" w:eastAsiaTheme="minorEastAsia" w:cstheme="minorEastAsia"/>
                <w:b/>
                <w:bCs/>
                <w:color w:val="auto"/>
                <w:sz w:val="24"/>
                <w:highlight w:val="none"/>
                <w:lang w:eastAsia="zh-CN"/>
              </w:rPr>
              <w:t>≥</w:t>
            </w:r>
            <w:r>
              <w:rPr>
                <w:rFonts w:hint="eastAsia" w:asciiTheme="minorEastAsia" w:hAnsiTheme="minorEastAsia" w:eastAsiaTheme="minorEastAsia" w:cstheme="minorEastAsia"/>
                <w:b/>
                <w:bCs/>
                <w:color w:val="auto"/>
                <w:sz w:val="24"/>
                <w:highlight w:val="none"/>
              </w:rPr>
              <w:t>10.5mm±1mm</w:t>
            </w:r>
          </w:p>
        </w:tc>
        <w:tc>
          <w:tcPr>
            <w:tcW w:w="1456" w:type="pct"/>
            <w:vAlign w:val="center"/>
          </w:tcPr>
          <w:p w14:paraId="347E4A9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07942DF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826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5A8A186">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7</w:t>
            </w:r>
          </w:p>
        </w:tc>
        <w:tc>
          <w:tcPr>
            <w:tcW w:w="915" w:type="pct"/>
            <w:vMerge w:val="continue"/>
            <w:tcBorders/>
            <w:vAlign w:val="center"/>
          </w:tcPr>
          <w:p w14:paraId="2D97288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4DF20DEE">
            <w:pPr>
              <w:keepNext w:val="0"/>
              <w:keepLines w:val="0"/>
              <w:widowControl/>
              <w:suppressLineNumbers w:val="0"/>
              <w:jc w:val="left"/>
              <w:textAlignment w:val="center"/>
              <w:rPr>
                <w:rFonts w:ascii="宋体" w:hAnsi="宋体"/>
                <w:b/>
                <w:bCs/>
                <w:sz w:val="22"/>
                <w:szCs w:val="22"/>
              </w:rPr>
            </w:pPr>
            <w:r>
              <w:rPr>
                <w:rFonts w:hint="eastAsia" w:ascii="宋体" w:hAnsi="宋体" w:eastAsia="宋体" w:cs="宋体"/>
                <w:b/>
                <w:bCs/>
                <w:sz w:val="24"/>
                <w:szCs w:val="24"/>
              </w:rPr>
              <w:t>支架式治疗头</w:t>
            </w:r>
            <w:r>
              <w:rPr>
                <w:rFonts w:hint="eastAsia" w:ascii="宋体" w:hAnsi="宋体" w:eastAsia="宋体" w:cs="宋体"/>
                <w:b/>
                <w:bCs/>
                <w:sz w:val="24"/>
                <w:szCs w:val="24"/>
                <w:lang w:val="en-US" w:eastAsia="zh-CN"/>
              </w:rPr>
              <w:t>在</w:t>
            </w:r>
            <w:r>
              <w:rPr>
                <w:rFonts w:hint="eastAsia" w:ascii="宋体" w:hAnsi="宋体" w:eastAsia="宋体" w:cs="宋体"/>
                <w:b/>
                <w:bCs/>
                <w:sz w:val="24"/>
                <w:szCs w:val="24"/>
              </w:rPr>
              <w:t>直径1m 范围内任意调节，自行固定</w:t>
            </w:r>
          </w:p>
        </w:tc>
        <w:tc>
          <w:tcPr>
            <w:tcW w:w="1456" w:type="pct"/>
            <w:vAlign w:val="center"/>
          </w:tcPr>
          <w:p w14:paraId="79A7E38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6BD264C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E68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2CCCFD92">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w:t>
            </w:r>
          </w:p>
        </w:tc>
        <w:tc>
          <w:tcPr>
            <w:tcW w:w="915" w:type="pct"/>
            <w:vMerge w:val="continue"/>
            <w:tcBorders/>
            <w:vAlign w:val="center"/>
          </w:tcPr>
          <w:p w14:paraId="1EE788A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CD89F26">
            <w:pPr>
              <w:keepNext w:val="0"/>
              <w:keepLines w:val="0"/>
              <w:widowControl/>
              <w:suppressLineNumbers w:val="0"/>
              <w:jc w:val="left"/>
              <w:textAlignment w:val="center"/>
              <w:rPr>
                <w:rFonts w:ascii="宋体" w:hAnsi="宋体"/>
                <w:b/>
                <w:bCs/>
                <w:sz w:val="22"/>
                <w:szCs w:val="22"/>
              </w:rPr>
            </w:pPr>
            <w:r>
              <w:rPr>
                <w:rFonts w:hint="eastAsia" w:ascii="宋体" w:hAnsi="宋体" w:eastAsia="宋体" w:cs="宋体"/>
                <w:b/>
                <w:bCs/>
                <w:sz w:val="24"/>
                <w:szCs w:val="24"/>
              </w:rPr>
              <w:t>治疗仪计时显示时间： 1～99min 范围内可调</w:t>
            </w:r>
          </w:p>
        </w:tc>
        <w:tc>
          <w:tcPr>
            <w:tcW w:w="1456" w:type="pct"/>
            <w:vAlign w:val="center"/>
          </w:tcPr>
          <w:p w14:paraId="3D049F5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DF8F32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91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29423A33">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9</w:t>
            </w:r>
          </w:p>
        </w:tc>
        <w:tc>
          <w:tcPr>
            <w:tcW w:w="915" w:type="pct"/>
            <w:vMerge w:val="continue"/>
            <w:tcBorders/>
            <w:vAlign w:val="center"/>
          </w:tcPr>
          <w:p w14:paraId="3848F6A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57C31EE4">
            <w:pPr>
              <w:keepNext w:val="0"/>
              <w:keepLines w:val="0"/>
              <w:widowControl/>
              <w:suppressLineNumbers w:val="0"/>
              <w:jc w:val="left"/>
              <w:textAlignment w:val="center"/>
              <w:rPr>
                <w:rFonts w:hint="eastAsia" w:ascii="宋体" w:hAnsi="宋体" w:eastAsia="宋体" w:cs="宋体"/>
                <w:b/>
                <w:bCs/>
                <w:sz w:val="24"/>
                <w:szCs w:val="24"/>
              </w:rPr>
            </w:pPr>
            <w:r>
              <w:rPr>
                <w:rFonts w:hint="eastAsia" w:ascii="宋体" w:hAnsi="宋体" w:eastAsia="宋体" w:cs="宋体"/>
                <w:b/>
                <w:bCs/>
                <w:sz w:val="24"/>
                <w:szCs w:val="24"/>
              </w:rPr>
              <w:t>调节步长： 1min，显示误差±10%</w:t>
            </w:r>
          </w:p>
        </w:tc>
        <w:tc>
          <w:tcPr>
            <w:tcW w:w="1456" w:type="pct"/>
            <w:vAlign w:val="center"/>
          </w:tcPr>
          <w:p w14:paraId="22AF5FA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63138B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6DCC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57EADD13">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10</w:t>
            </w:r>
          </w:p>
        </w:tc>
        <w:tc>
          <w:tcPr>
            <w:tcW w:w="915" w:type="pct"/>
            <w:vMerge w:val="continue"/>
            <w:tcBorders/>
            <w:vAlign w:val="center"/>
          </w:tcPr>
          <w:p w14:paraId="580AED6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97A9E63">
            <w:pPr>
              <w:keepNext w:val="0"/>
              <w:keepLines w:val="0"/>
              <w:widowControl/>
              <w:suppressLineNumbers w:val="0"/>
              <w:jc w:val="left"/>
              <w:textAlignment w:val="center"/>
              <w:rPr>
                <w:rFonts w:hint="eastAsia" w:ascii="宋体" w:hAnsi="宋体" w:eastAsia="宋体" w:cs="宋体"/>
                <w:b/>
                <w:bCs/>
                <w:sz w:val="24"/>
                <w:szCs w:val="24"/>
              </w:rPr>
            </w:pPr>
            <w:r>
              <w:rPr>
                <w:rFonts w:hint="eastAsia" w:ascii="宋体" w:hAnsi="宋体" w:eastAsia="宋体" w:cs="宋体"/>
                <w:b/>
                <w:bCs/>
                <w:sz w:val="24"/>
                <w:szCs w:val="24"/>
              </w:rPr>
              <w:t>电灼输出功率： 1-20 档可调，最大输出功率：≤ 10W</w:t>
            </w:r>
          </w:p>
        </w:tc>
        <w:tc>
          <w:tcPr>
            <w:tcW w:w="1456" w:type="pct"/>
            <w:vAlign w:val="center"/>
          </w:tcPr>
          <w:p w14:paraId="186327E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0CAAD5D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655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29F0E08">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11</w:t>
            </w:r>
          </w:p>
        </w:tc>
        <w:tc>
          <w:tcPr>
            <w:tcW w:w="915" w:type="pct"/>
            <w:vMerge w:val="continue"/>
            <w:tcBorders/>
            <w:vAlign w:val="center"/>
          </w:tcPr>
          <w:p w14:paraId="0325265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0A260D2A">
            <w:pPr>
              <w:keepNext w:val="0"/>
              <w:keepLines w:val="0"/>
              <w:widowControl/>
              <w:suppressLineNumbers w:val="0"/>
              <w:jc w:val="left"/>
              <w:textAlignment w:val="center"/>
              <w:rPr>
                <w:rFonts w:hint="eastAsia" w:ascii="宋体" w:hAnsi="宋体" w:eastAsia="宋体" w:cs="宋体"/>
                <w:b/>
                <w:bCs/>
                <w:sz w:val="24"/>
                <w:szCs w:val="24"/>
              </w:rPr>
            </w:pPr>
            <w:r>
              <w:rPr>
                <w:rFonts w:hint="eastAsia" w:ascii="宋体" w:hAnsi="宋体" w:eastAsia="宋体" w:cs="宋体"/>
                <w:b/>
                <w:bCs/>
                <w:sz w:val="24"/>
                <w:szCs w:val="24"/>
              </w:rPr>
              <w:t>一次性使用单极手术</w:t>
            </w:r>
            <w:r>
              <w:rPr>
                <w:rFonts w:hint="eastAsia" w:ascii="宋体" w:hAnsi="宋体" w:eastAsia="宋体" w:cs="宋体"/>
                <w:b/>
                <w:bCs/>
                <w:sz w:val="24"/>
                <w:szCs w:val="24"/>
                <w:lang w:eastAsia="zh-CN"/>
              </w:rPr>
              <w:t>：</w:t>
            </w:r>
            <w:r>
              <w:rPr>
                <w:rFonts w:hint="eastAsia" w:ascii="宋体" w:hAnsi="宋体" w:eastAsia="宋体" w:cs="宋体"/>
                <w:b/>
                <w:bCs/>
                <w:sz w:val="24"/>
                <w:szCs w:val="24"/>
              </w:rPr>
              <w:t>电极的输出导线长度：≥1.5m</w:t>
            </w:r>
          </w:p>
        </w:tc>
        <w:tc>
          <w:tcPr>
            <w:tcW w:w="1456" w:type="pct"/>
            <w:vAlign w:val="center"/>
          </w:tcPr>
          <w:p w14:paraId="5D340F1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15DF40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bl>
    <w:p w14:paraId="036A33F0">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rPr>
      </w:pPr>
    </w:p>
    <w:p w14:paraId="7F0727B6">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bookmarkStart w:id="0" w:name="_GoBack"/>
      <w:bookmarkEnd w:id="0"/>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p>
    <w:p w14:paraId="05044943">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38C542D7">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p>
    <w:p w14:paraId="547DDF4B">
      <w:pPr>
        <w:pStyle w:val="3"/>
        <w:pageBreakBefore w:val="0"/>
        <w:kinsoku/>
        <w:overflowPunct/>
        <w:topLinePunct w:val="0"/>
        <w:bidi w:val="0"/>
        <w:spacing w:line="360" w:lineRule="auto"/>
        <w:ind w:left="0" w:leftChars="0" w:right="0" w:rightChars="0" w:firstLineChars="0"/>
        <w:textAlignment w:val="auto"/>
      </w:pPr>
      <w:r>
        <w:rPr>
          <w:rFonts w:hint="eastAsia" w:asciiTheme="minorEastAsia" w:hAnsiTheme="minorEastAsia" w:eastAsiaTheme="minorEastAsia" w:cstheme="minorEastAsia"/>
          <w:color w:val="auto"/>
          <w:sz w:val="24"/>
          <w:highlight w:val="none"/>
          <w:lang w:val="en-US" w:eastAsia="zh-CN"/>
        </w:rPr>
        <w:t>注：投标人应对所承诺的各类参数真实性负责，如中标后被质疑虚假应标且被查实的或在履约过程中被发现虚假响应的，投标人将承担包括但不限于扣除履约保证金（如有）、处以罚金和上报相关主管部门纳入不良信用记录等一切后果及法律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6758C"/>
    <w:rsid w:val="2436758C"/>
    <w:rsid w:val="26F17F30"/>
    <w:rsid w:val="64664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eastAsiaTheme="minorEastAsia" w:cstheme="minorBidi"/>
      <w:szCs w:val="22"/>
    </w:rPr>
  </w:style>
  <w:style w:type="paragraph" w:styleId="3">
    <w:name w:val="Date"/>
    <w:basedOn w:val="1"/>
    <w:next w:val="1"/>
    <w:qFormat/>
    <w:uiPriority w:val="0"/>
    <w:rPr>
      <w:rFonts w:ascii="Arial" w:hAnsi="Arial" w:eastAsia="宋体" w:cs="Arial"/>
      <w:b/>
      <w:sz w:val="28"/>
    </w:rPr>
  </w:style>
  <w:style w:type="paragraph" w:customStyle="1" w:styleId="6">
    <w:name w:val="Char Char Char Char Char Char Char1 Char"/>
    <w:basedOn w:val="1"/>
    <w:qFormat/>
    <w:uiPriority w:val="0"/>
    <w:rPr>
      <w:rFonts w:ascii="Arial" w:hAnsi="Arial" w:eastAsia="宋体" w:cs="Arial"/>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763</Words>
  <Characters>866</Characters>
  <Lines>0</Lines>
  <Paragraphs>0</Paragraphs>
  <TotalTime>1</TotalTime>
  <ScaleCrop>false</ScaleCrop>
  <LinksUpToDate>false</LinksUpToDate>
  <CharactersWithSpaces>905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2026-05-27T06:39:00Z</dcterms:created>
  <dc:creator>♚fùdōng( •ิ_• ิ)</dc:creator>
  <cp:lastModifiedBy>♚fùdōng( •ิ_• ิ)</cp:lastModifiedBy>
  <dcterms:modified xsi:type="dcterms:W3CDTF">2026-08-14T07:49:50Z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5E8029C208BB4696942D3BE1571CD03E_11</vt:lpwstr>
  </property>
  <property fmtid="{D5CDD505-2E9C-101B-9397-08002B2CF9AE}" pid="4" name="KSOTemplateDocerSaveRecord">
    <vt:lpwstr>eyJoZGlkIjoiOTc1ZTdjZDg0ZTg0NmExMjYyYTdlYTIzZWJkMzc5NjgiLCJ1c2VySWQiOiI1MTAxOTYyNjUifQ==</vt:lpwstr>
  </property>
</Properties>
</file>